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588" w:rsidRPr="003D75D7" w:rsidRDefault="00565588" w:rsidP="00565588">
      <w:pPr>
        <w:rPr>
          <w:rFonts w:ascii="Garamond" w:hAnsi="Garamond"/>
          <w:b/>
          <w:color w:val="FF0000"/>
          <w:sz w:val="22"/>
          <w:szCs w:val="22"/>
        </w:rPr>
      </w:pPr>
      <w:r w:rsidRPr="003D75D7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3B6399" w:rsidRPr="00757660" w:rsidRDefault="003B6399" w:rsidP="00565588">
      <w:pPr>
        <w:jc w:val="right"/>
        <w:rPr>
          <w:rFonts w:ascii="Garamond" w:hAnsi="Garamond"/>
          <w:sz w:val="22"/>
          <w:szCs w:val="22"/>
        </w:rPr>
      </w:pPr>
      <w:r w:rsidRPr="00757660">
        <w:rPr>
          <w:rFonts w:ascii="Garamond" w:hAnsi="Garamond"/>
          <w:sz w:val="22"/>
          <w:szCs w:val="22"/>
        </w:rPr>
        <w:t xml:space="preserve">Lębork, dn. </w:t>
      </w:r>
      <w:r w:rsidR="003D75D7">
        <w:rPr>
          <w:rFonts w:ascii="Garamond" w:hAnsi="Garamond"/>
          <w:sz w:val="22"/>
          <w:szCs w:val="22"/>
        </w:rPr>
        <w:t>19 kwietnia</w:t>
      </w:r>
      <w:r w:rsidR="00A305CC">
        <w:rPr>
          <w:rFonts w:ascii="Garamond" w:hAnsi="Garamond"/>
          <w:sz w:val="22"/>
          <w:szCs w:val="22"/>
        </w:rPr>
        <w:t xml:space="preserve"> </w:t>
      </w:r>
      <w:r w:rsidR="00757660" w:rsidRPr="00757660">
        <w:rPr>
          <w:rFonts w:ascii="Garamond" w:hAnsi="Garamond"/>
          <w:sz w:val="22"/>
          <w:szCs w:val="22"/>
        </w:rPr>
        <w:t>2</w:t>
      </w:r>
      <w:r w:rsidR="000E2BF2" w:rsidRPr="00757660">
        <w:rPr>
          <w:rFonts w:ascii="Garamond" w:hAnsi="Garamond"/>
          <w:sz w:val="22"/>
          <w:szCs w:val="22"/>
        </w:rPr>
        <w:t>0</w:t>
      </w:r>
      <w:r w:rsidR="00623736">
        <w:rPr>
          <w:rFonts w:ascii="Garamond" w:hAnsi="Garamond"/>
          <w:sz w:val="22"/>
          <w:szCs w:val="22"/>
        </w:rPr>
        <w:t>2</w:t>
      </w:r>
      <w:r w:rsidR="003D75D7">
        <w:rPr>
          <w:rFonts w:ascii="Garamond" w:hAnsi="Garamond"/>
          <w:sz w:val="22"/>
          <w:szCs w:val="22"/>
        </w:rPr>
        <w:t>2</w:t>
      </w:r>
      <w:r w:rsidR="00A305CC">
        <w:rPr>
          <w:rFonts w:ascii="Garamond" w:hAnsi="Garamond"/>
          <w:sz w:val="22"/>
          <w:szCs w:val="22"/>
        </w:rPr>
        <w:t xml:space="preserve"> roku</w:t>
      </w:r>
    </w:p>
    <w:p w:rsidR="0004689A" w:rsidRDefault="0004689A" w:rsidP="00565588">
      <w:pPr>
        <w:jc w:val="both"/>
        <w:rPr>
          <w:rFonts w:ascii="Garamond" w:hAnsi="Garamond"/>
          <w:sz w:val="22"/>
          <w:szCs w:val="22"/>
        </w:rPr>
      </w:pPr>
      <w:r w:rsidRPr="0004689A">
        <w:rPr>
          <w:rFonts w:ascii="Garamond" w:hAnsi="Garamond"/>
          <w:sz w:val="22"/>
          <w:szCs w:val="22"/>
        </w:rPr>
        <w:t>G.683.</w:t>
      </w:r>
      <w:r w:rsidR="00260AEE">
        <w:rPr>
          <w:rFonts w:ascii="Garamond" w:hAnsi="Garamond"/>
          <w:sz w:val="22"/>
          <w:szCs w:val="22"/>
        </w:rPr>
        <w:t>1</w:t>
      </w:r>
      <w:r w:rsidR="002D1CF9">
        <w:rPr>
          <w:rFonts w:ascii="Garamond" w:hAnsi="Garamond"/>
          <w:sz w:val="22"/>
          <w:szCs w:val="22"/>
        </w:rPr>
        <w:t>0</w:t>
      </w:r>
      <w:r w:rsidRPr="0004689A">
        <w:rPr>
          <w:rFonts w:ascii="Garamond" w:hAnsi="Garamond"/>
          <w:sz w:val="22"/>
          <w:szCs w:val="22"/>
        </w:rPr>
        <w:t>.20</w:t>
      </w:r>
      <w:r w:rsidR="00260AEE">
        <w:rPr>
          <w:rFonts w:ascii="Garamond" w:hAnsi="Garamond"/>
          <w:sz w:val="22"/>
          <w:szCs w:val="22"/>
        </w:rPr>
        <w:t>20</w:t>
      </w:r>
      <w:r w:rsidRPr="0004689A">
        <w:rPr>
          <w:rFonts w:ascii="Garamond" w:hAnsi="Garamond"/>
          <w:sz w:val="22"/>
          <w:szCs w:val="22"/>
        </w:rPr>
        <w:t>.SP.JK</w:t>
      </w:r>
    </w:p>
    <w:p w:rsidR="00084DA7" w:rsidRPr="0004689A" w:rsidRDefault="00084DA7" w:rsidP="00565588">
      <w:pPr>
        <w:jc w:val="both"/>
        <w:rPr>
          <w:rFonts w:ascii="Garamond" w:hAnsi="Garamond"/>
          <w:sz w:val="22"/>
          <w:szCs w:val="22"/>
        </w:rPr>
      </w:pPr>
    </w:p>
    <w:p w:rsidR="003B6399" w:rsidRPr="00ED3511" w:rsidRDefault="00757660" w:rsidP="003B639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Decyzja</w:t>
      </w:r>
    </w:p>
    <w:p w:rsidR="003B6399" w:rsidRPr="00ED3511" w:rsidRDefault="003B6399" w:rsidP="003B6399">
      <w:pPr>
        <w:spacing w:line="360" w:lineRule="auto"/>
        <w:rPr>
          <w:rFonts w:ascii="Garamond" w:hAnsi="Garamond"/>
          <w:sz w:val="16"/>
          <w:szCs w:val="16"/>
        </w:rPr>
      </w:pPr>
    </w:p>
    <w:p w:rsidR="00623736" w:rsidRPr="00ED3511" w:rsidRDefault="00623736" w:rsidP="00F2321B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ED3511">
        <w:rPr>
          <w:rFonts w:ascii="Garamond" w:hAnsi="Garamond"/>
          <w:sz w:val="22"/>
          <w:szCs w:val="22"/>
        </w:rPr>
        <w:t xml:space="preserve">Na podstawie art. 12 ust. </w:t>
      </w:r>
      <w:r w:rsidR="00F2321B">
        <w:rPr>
          <w:rFonts w:ascii="Garamond" w:hAnsi="Garamond"/>
          <w:sz w:val="22"/>
          <w:szCs w:val="22"/>
        </w:rPr>
        <w:t>4a, 4f, ust. 5, art. 18 ust. 1</w:t>
      </w:r>
      <w:r w:rsidR="00084DA7">
        <w:rPr>
          <w:rFonts w:ascii="Garamond" w:hAnsi="Garamond"/>
          <w:sz w:val="22"/>
          <w:szCs w:val="22"/>
        </w:rPr>
        <w:t xml:space="preserve">, </w:t>
      </w:r>
      <w:r w:rsidR="00F2321B">
        <w:rPr>
          <w:rFonts w:ascii="Garamond" w:hAnsi="Garamond"/>
          <w:sz w:val="22"/>
          <w:szCs w:val="22"/>
        </w:rPr>
        <w:t xml:space="preserve">art. 23 </w:t>
      </w:r>
      <w:r w:rsidRPr="001974D3">
        <w:rPr>
          <w:rFonts w:ascii="Garamond" w:hAnsi="Garamond"/>
          <w:sz w:val="22"/>
          <w:szCs w:val="22"/>
        </w:rPr>
        <w:t xml:space="preserve">ustawy </w:t>
      </w:r>
      <w:r>
        <w:rPr>
          <w:rFonts w:ascii="Garamond" w:hAnsi="Garamond"/>
          <w:sz w:val="22"/>
          <w:szCs w:val="22"/>
        </w:rPr>
        <w:t>z dnia 10 kwietnia 2003 roku</w:t>
      </w:r>
      <w:r w:rsidR="00084DA7">
        <w:rPr>
          <w:rFonts w:ascii="Garamond" w:hAnsi="Garamond"/>
          <w:sz w:val="22"/>
          <w:szCs w:val="22"/>
        </w:rPr>
        <w:br/>
      </w:r>
      <w:r w:rsidRPr="00ED3511">
        <w:rPr>
          <w:rFonts w:ascii="Garamond" w:hAnsi="Garamond"/>
          <w:sz w:val="22"/>
          <w:szCs w:val="22"/>
        </w:rPr>
        <w:t xml:space="preserve">o szczególnych zasadach przygotowania i realizacji inwestycji w zakresie dróg publicznych </w:t>
      </w:r>
      <w:r>
        <w:rPr>
          <w:rFonts w:ascii="Garamond" w:hAnsi="Garamond"/>
          <w:sz w:val="22"/>
          <w:szCs w:val="22"/>
        </w:rPr>
        <w:t>(t. j. Dz. U.</w:t>
      </w:r>
      <w:r w:rsidR="00084DA7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202</w:t>
      </w:r>
      <w:r w:rsidR="003D75D7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r., poz. </w:t>
      </w:r>
      <w:r w:rsidR="003D75D7">
        <w:rPr>
          <w:rFonts w:ascii="Garamond" w:hAnsi="Garamond"/>
          <w:sz w:val="22"/>
          <w:szCs w:val="22"/>
        </w:rPr>
        <w:t>176</w:t>
      </w:r>
      <w:r w:rsidRPr="00ED3511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</w:t>
      </w:r>
      <w:r w:rsidR="00F2321B">
        <w:rPr>
          <w:rFonts w:ascii="Garamond" w:hAnsi="Garamond"/>
          <w:sz w:val="22"/>
          <w:szCs w:val="22"/>
        </w:rPr>
        <w:t xml:space="preserve"> art. 113 ust. 6 i 7,</w:t>
      </w:r>
      <w:r w:rsidRPr="00ED3511">
        <w:rPr>
          <w:rFonts w:ascii="Garamond" w:hAnsi="Garamond"/>
          <w:sz w:val="22"/>
          <w:szCs w:val="22"/>
        </w:rPr>
        <w:t xml:space="preserve"> art. </w:t>
      </w:r>
      <w:r w:rsidR="00F2321B">
        <w:rPr>
          <w:rFonts w:ascii="Garamond" w:hAnsi="Garamond"/>
          <w:sz w:val="22"/>
          <w:szCs w:val="22"/>
        </w:rPr>
        <w:t xml:space="preserve">118a ust. 2 i 3, art. </w:t>
      </w:r>
      <w:r w:rsidRPr="00ED3511">
        <w:rPr>
          <w:rFonts w:ascii="Garamond" w:hAnsi="Garamond"/>
          <w:sz w:val="22"/>
          <w:szCs w:val="22"/>
        </w:rPr>
        <w:t xml:space="preserve">129 ust. 5 pkt 3, art. 130 ust. 2, art. </w:t>
      </w:r>
      <w:r w:rsidR="00247932">
        <w:rPr>
          <w:rFonts w:ascii="Garamond" w:hAnsi="Garamond"/>
          <w:sz w:val="22"/>
          <w:szCs w:val="22"/>
        </w:rPr>
        <w:t>13</w:t>
      </w:r>
      <w:r w:rsidR="00B03386">
        <w:rPr>
          <w:rFonts w:ascii="Garamond" w:hAnsi="Garamond"/>
          <w:sz w:val="22"/>
          <w:szCs w:val="22"/>
        </w:rPr>
        <w:t xml:space="preserve">2 ust. 1a, </w:t>
      </w:r>
      <w:r w:rsidR="00F2586E">
        <w:rPr>
          <w:rFonts w:ascii="Garamond" w:hAnsi="Garamond"/>
          <w:sz w:val="22"/>
          <w:szCs w:val="22"/>
        </w:rPr>
        <w:t xml:space="preserve">ust. 2 i ust. 5, </w:t>
      </w:r>
      <w:r w:rsidR="00B03386">
        <w:rPr>
          <w:rFonts w:ascii="Garamond" w:hAnsi="Garamond"/>
          <w:sz w:val="22"/>
          <w:szCs w:val="22"/>
        </w:rPr>
        <w:t xml:space="preserve">art. </w:t>
      </w:r>
      <w:r w:rsidRPr="00ED3511">
        <w:rPr>
          <w:rFonts w:ascii="Garamond" w:hAnsi="Garamond"/>
          <w:sz w:val="22"/>
          <w:szCs w:val="22"/>
        </w:rPr>
        <w:t>13</w:t>
      </w:r>
      <w:r w:rsidR="00B32A3A">
        <w:rPr>
          <w:rFonts w:ascii="Garamond" w:hAnsi="Garamond"/>
          <w:sz w:val="22"/>
          <w:szCs w:val="22"/>
        </w:rPr>
        <w:t>3</w:t>
      </w:r>
      <w:r w:rsidRPr="00ED3511">
        <w:rPr>
          <w:rFonts w:ascii="Garamond" w:hAnsi="Garamond"/>
          <w:sz w:val="22"/>
          <w:szCs w:val="22"/>
        </w:rPr>
        <w:t xml:space="preserve"> ust. 2, </w:t>
      </w:r>
      <w:r w:rsidR="00B32A3A">
        <w:rPr>
          <w:rFonts w:ascii="Garamond" w:hAnsi="Garamond"/>
          <w:sz w:val="22"/>
          <w:szCs w:val="22"/>
        </w:rPr>
        <w:t>art. 134 ust. 1</w:t>
      </w:r>
      <w:r w:rsidR="00F2586E">
        <w:rPr>
          <w:rFonts w:ascii="Garamond" w:hAnsi="Garamond"/>
          <w:sz w:val="22"/>
          <w:szCs w:val="22"/>
        </w:rPr>
        <w:t xml:space="preserve"> </w:t>
      </w:r>
      <w:r w:rsidRPr="00ED3511">
        <w:rPr>
          <w:rFonts w:ascii="Garamond" w:hAnsi="Garamond"/>
          <w:sz w:val="22"/>
          <w:szCs w:val="22"/>
        </w:rPr>
        <w:t>ustawy z dnia 21 sierpnia 1997 roku</w:t>
      </w:r>
      <w:r>
        <w:rPr>
          <w:rFonts w:ascii="Garamond" w:hAnsi="Garamond"/>
          <w:sz w:val="22"/>
          <w:szCs w:val="22"/>
        </w:rPr>
        <w:t xml:space="preserve"> o gospodarce nieruchomościami </w:t>
      </w:r>
      <w:r w:rsidRPr="00ED3511">
        <w:rPr>
          <w:rFonts w:ascii="Garamond" w:hAnsi="Garamond"/>
          <w:sz w:val="22"/>
          <w:szCs w:val="22"/>
        </w:rPr>
        <w:t>(t.</w:t>
      </w:r>
      <w:r w:rsidR="0013674A">
        <w:rPr>
          <w:rFonts w:ascii="Garamond" w:hAnsi="Garamond"/>
          <w:sz w:val="22"/>
          <w:szCs w:val="22"/>
        </w:rPr>
        <w:t xml:space="preserve"> </w:t>
      </w:r>
      <w:r w:rsidRPr="00ED3511">
        <w:rPr>
          <w:rFonts w:ascii="Garamond" w:hAnsi="Garamond"/>
          <w:sz w:val="22"/>
          <w:szCs w:val="22"/>
        </w:rPr>
        <w:t>j. Dz. U. z 20</w:t>
      </w:r>
      <w:r>
        <w:rPr>
          <w:rFonts w:ascii="Garamond" w:hAnsi="Garamond"/>
          <w:sz w:val="22"/>
          <w:szCs w:val="22"/>
        </w:rPr>
        <w:t>2</w:t>
      </w:r>
      <w:r w:rsidR="003D75D7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r., poz. 1</w:t>
      </w:r>
      <w:r w:rsidR="003D75D7">
        <w:rPr>
          <w:rFonts w:ascii="Garamond" w:hAnsi="Garamond"/>
          <w:sz w:val="22"/>
          <w:szCs w:val="22"/>
        </w:rPr>
        <w:t>899</w:t>
      </w:r>
      <w:r>
        <w:rPr>
          <w:rFonts w:ascii="Garamond" w:hAnsi="Garamond"/>
          <w:sz w:val="22"/>
          <w:szCs w:val="22"/>
        </w:rPr>
        <w:t xml:space="preserve"> ze zm.), </w:t>
      </w:r>
      <w:r w:rsidRPr="00ED3511">
        <w:rPr>
          <w:rFonts w:ascii="Garamond" w:hAnsi="Garamond"/>
          <w:sz w:val="22"/>
          <w:szCs w:val="22"/>
        </w:rPr>
        <w:t xml:space="preserve">oraz art. </w:t>
      </w:r>
      <w:r w:rsidR="00B32A3A">
        <w:rPr>
          <w:rFonts w:ascii="Garamond" w:hAnsi="Garamond"/>
          <w:sz w:val="22"/>
          <w:szCs w:val="22"/>
        </w:rPr>
        <w:t xml:space="preserve">49 i art. </w:t>
      </w:r>
      <w:r w:rsidRPr="00ED3511">
        <w:rPr>
          <w:rFonts w:ascii="Garamond" w:hAnsi="Garamond"/>
          <w:sz w:val="22"/>
          <w:szCs w:val="22"/>
        </w:rPr>
        <w:t>104 ustawy z dnia 14 czerwca 1960 roku Kodeks postępowania admini</w:t>
      </w:r>
      <w:r>
        <w:rPr>
          <w:rFonts w:ascii="Garamond" w:hAnsi="Garamond"/>
          <w:sz w:val="22"/>
          <w:szCs w:val="22"/>
        </w:rPr>
        <w:t>stracyjnego</w:t>
      </w:r>
      <w:r w:rsidR="00ED01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(t. j. Dz. U. z 202</w:t>
      </w:r>
      <w:r w:rsidR="00191B8C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r., poz. </w:t>
      </w:r>
      <w:r w:rsidR="00191B8C">
        <w:rPr>
          <w:rFonts w:ascii="Garamond" w:hAnsi="Garamond"/>
          <w:sz w:val="22"/>
          <w:szCs w:val="22"/>
        </w:rPr>
        <w:t>735</w:t>
      </w:r>
      <w:r w:rsidR="00C14E79">
        <w:rPr>
          <w:rFonts w:ascii="Garamond" w:hAnsi="Garamond"/>
          <w:sz w:val="22"/>
          <w:szCs w:val="22"/>
        </w:rPr>
        <w:t xml:space="preserve"> ze zm.</w:t>
      </w:r>
      <w:r w:rsidRPr="00ED3511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 działając</w:t>
      </w:r>
      <w:r w:rsidR="00C14E7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urzędu,</w:t>
      </w:r>
    </w:p>
    <w:p w:rsidR="00623736" w:rsidRPr="00ED3511" w:rsidRDefault="00623736" w:rsidP="0062373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623736" w:rsidRPr="00ED3511" w:rsidRDefault="00623736" w:rsidP="0062373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Starosta Lęborski orzeka:</w:t>
      </w:r>
    </w:p>
    <w:p w:rsidR="003B6399" w:rsidRPr="00ED3511" w:rsidRDefault="003B6399" w:rsidP="003B6399">
      <w:pPr>
        <w:spacing w:line="360" w:lineRule="auto"/>
        <w:jc w:val="center"/>
        <w:rPr>
          <w:rFonts w:ascii="Garamond" w:hAnsi="Garamond"/>
          <w:sz w:val="16"/>
          <w:szCs w:val="16"/>
        </w:rPr>
      </w:pPr>
    </w:p>
    <w:p w:rsidR="00623736" w:rsidRPr="0013674A" w:rsidRDefault="00623736" w:rsidP="00623736">
      <w:pPr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13674A">
        <w:rPr>
          <w:rFonts w:ascii="Garamond" w:hAnsi="Garamond"/>
          <w:sz w:val="22"/>
          <w:szCs w:val="22"/>
        </w:rPr>
        <w:t xml:space="preserve">o ustaleniu odszkodowania za </w:t>
      </w:r>
      <w:r w:rsidR="00B32A3A">
        <w:rPr>
          <w:rFonts w:ascii="Garamond" w:hAnsi="Garamond"/>
          <w:sz w:val="22"/>
          <w:szCs w:val="22"/>
        </w:rPr>
        <w:t>przejęcie z mocy prawa nieruchomości położonej w obrębie 3 miasta Lęborka</w:t>
      </w:r>
      <w:r w:rsidR="00260AEE" w:rsidRPr="0013674A">
        <w:rPr>
          <w:rFonts w:ascii="Garamond" w:hAnsi="Garamond"/>
          <w:sz w:val="22"/>
          <w:szCs w:val="22"/>
        </w:rPr>
        <w:t>, oznaczonej w ewidencji gruntów i budynków jako działka nr 2</w:t>
      </w:r>
      <w:r w:rsidR="00B03386">
        <w:rPr>
          <w:rFonts w:ascii="Garamond" w:hAnsi="Garamond"/>
          <w:sz w:val="22"/>
          <w:szCs w:val="22"/>
        </w:rPr>
        <w:t>39/2</w:t>
      </w:r>
      <w:r w:rsidR="00260AEE" w:rsidRPr="0013674A">
        <w:rPr>
          <w:rFonts w:ascii="Garamond" w:hAnsi="Garamond"/>
          <w:sz w:val="22"/>
          <w:szCs w:val="22"/>
        </w:rPr>
        <w:t xml:space="preserve"> o powierzchni </w:t>
      </w:r>
      <w:r w:rsidR="00B03386">
        <w:rPr>
          <w:rFonts w:ascii="Garamond" w:hAnsi="Garamond"/>
          <w:sz w:val="22"/>
          <w:szCs w:val="22"/>
        </w:rPr>
        <w:t>8</w:t>
      </w:r>
      <w:r w:rsidR="00260AEE" w:rsidRPr="0013674A">
        <w:rPr>
          <w:rFonts w:ascii="Garamond" w:hAnsi="Garamond"/>
          <w:sz w:val="22"/>
          <w:szCs w:val="22"/>
        </w:rPr>
        <w:t>m</w:t>
      </w:r>
      <w:r w:rsidR="00260AEE" w:rsidRPr="0013674A">
        <w:rPr>
          <w:rFonts w:ascii="Garamond" w:hAnsi="Garamond"/>
          <w:sz w:val="22"/>
          <w:szCs w:val="22"/>
          <w:vertAlign w:val="superscript"/>
        </w:rPr>
        <w:t>2</w:t>
      </w:r>
      <w:r w:rsidR="00260AEE" w:rsidRPr="0013674A">
        <w:rPr>
          <w:rFonts w:ascii="Garamond" w:hAnsi="Garamond"/>
          <w:sz w:val="22"/>
          <w:szCs w:val="22"/>
        </w:rPr>
        <w:t xml:space="preserve">, dla której Sąd Rejonowy w Lęborku V Wydział Ksiąg Wieczystych prowadzi księgę wieczystą nr SL1L/00014863/1, a </w:t>
      </w:r>
      <w:r w:rsidRPr="0013674A">
        <w:rPr>
          <w:rFonts w:ascii="Garamond" w:hAnsi="Garamond"/>
          <w:sz w:val="22"/>
          <w:szCs w:val="22"/>
        </w:rPr>
        <w:t xml:space="preserve">która na podstawie </w:t>
      </w:r>
      <w:r w:rsidR="00260AEE" w:rsidRPr="0013674A">
        <w:rPr>
          <w:rFonts w:ascii="Garamond" w:hAnsi="Garamond"/>
          <w:sz w:val="22"/>
          <w:szCs w:val="22"/>
        </w:rPr>
        <w:t xml:space="preserve">ostatecznej </w:t>
      </w:r>
      <w:r w:rsidRPr="0013674A">
        <w:rPr>
          <w:rFonts w:ascii="Garamond" w:hAnsi="Garamond"/>
          <w:sz w:val="22"/>
          <w:szCs w:val="22"/>
        </w:rPr>
        <w:t xml:space="preserve">decyzji Starosty Lęborskiego z dnia </w:t>
      </w:r>
      <w:r w:rsidR="00260AEE" w:rsidRPr="0013674A">
        <w:rPr>
          <w:rFonts w:ascii="Garamond" w:hAnsi="Garamond"/>
          <w:sz w:val="22"/>
          <w:szCs w:val="22"/>
        </w:rPr>
        <w:t xml:space="preserve">14 lutego 2020 roku nr </w:t>
      </w:r>
      <w:r w:rsidR="001A3E68" w:rsidRPr="0013674A">
        <w:rPr>
          <w:rFonts w:ascii="Garamond" w:hAnsi="Garamond"/>
          <w:sz w:val="22"/>
          <w:szCs w:val="22"/>
        </w:rPr>
        <w:t>67</w:t>
      </w:r>
      <w:r w:rsidRPr="0013674A">
        <w:rPr>
          <w:rFonts w:ascii="Garamond" w:hAnsi="Garamond"/>
          <w:sz w:val="22"/>
          <w:szCs w:val="22"/>
        </w:rPr>
        <w:t>/20</w:t>
      </w:r>
      <w:r w:rsidR="001A3E68" w:rsidRPr="0013674A">
        <w:rPr>
          <w:rFonts w:ascii="Garamond" w:hAnsi="Garamond"/>
          <w:sz w:val="22"/>
          <w:szCs w:val="22"/>
        </w:rPr>
        <w:t>20</w:t>
      </w:r>
      <w:r w:rsidRPr="0013674A">
        <w:rPr>
          <w:rFonts w:ascii="Garamond" w:hAnsi="Garamond"/>
          <w:sz w:val="22"/>
          <w:szCs w:val="22"/>
        </w:rPr>
        <w:t xml:space="preserve"> sygn. </w:t>
      </w:r>
      <w:r w:rsidR="001A3E68" w:rsidRPr="0013674A">
        <w:rPr>
          <w:rFonts w:ascii="Garamond" w:hAnsi="Garamond"/>
          <w:sz w:val="22"/>
          <w:szCs w:val="22"/>
        </w:rPr>
        <w:t xml:space="preserve">akt </w:t>
      </w:r>
      <w:r w:rsidRPr="0013674A">
        <w:rPr>
          <w:rFonts w:ascii="Garamond" w:hAnsi="Garamond"/>
          <w:sz w:val="22"/>
          <w:szCs w:val="22"/>
        </w:rPr>
        <w:t>B.6740.</w:t>
      </w:r>
      <w:r w:rsidR="001A3E68" w:rsidRPr="0013674A">
        <w:rPr>
          <w:rFonts w:ascii="Garamond" w:hAnsi="Garamond"/>
          <w:sz w:val="22"/>
          <w:szCs w:val="22"/>
        </w:rPr>
        <w:t>605</w:t>
      </w:r>
      <w:r w:rsidRPr="0013674A">
        <w:rPr>
          <w:rFonts w:ascii="Garamond" w:hAnsi="Garamond"/>
          <w:sz w:val="22"/>
          <w:szCs w:val="22"/>
        </w:rPr>
        <w:t>.201</w:t>
      </w:r>
      <w:r w:rsidR="001A3E68" w:rsidRPr="0013674A">
        <w:rPr>
          <w:rFonts w:ascii="Garamond" w:hAnsi="Garamond"/>
          <w:sz w:val="22"/>
          <w:szCs w:val="22"/>
        </w:rPr>
        <w:t>9</w:t>
      </w:r>
      <w:r w:rsidRPr="0013674A">
        <w:rPr>
          <w:rFonts w:ascii="Garamond" w:hAnsi="Garamond"/>
          <w:sz w:val="22"/>
          <w:szCs w:val="22"/>
        </w:rPr>
        <w:t xml:space="preserve">.GG zezwalającej na realizację inwestycji drogowej pod nazwą </w:t>
      </w:r>
      <w:r w:rsidRPr="0013674A">
        <w:rPr>
          <w:rFonts w:ascii="Garamond" w:hAnsi="Garamond"/>
          <w:i/>
          <w:sz w:val="22"/>
          <w:szCs w:val="22"/>
        </w:rPr>
        <w:t>„</w:t>
      </w:r>
      <w:r w:rsidR="001A3E68" w:rsidRPr="0013674A">
        <w:rPr>
          <w:rFonts w:ascii="Garamond" w:hAnsi="Garamond"/>
          <w:i/>
          <w:sz w:val="22"/>
          <w:szCs w:val="22"/>
        </w:rPr>
        <w:t>rozbudowa z przebudową</w:t>
      </w:r>
      <w:r w:rsidRPr="0013674A">
        <w:rPr>
          <w:rFonts w:ascii="Garamond" w:hAnsi="Garamond"/>
          <w:i/>
          <w:sz w:val="22"/>
          <w:szCs w:val="22"/>
        </w:rPr>
        <w:t xml:space="preserve"> ulicy </w:t>
      </w:r>
      <w:r w:rsidR="001A3E68" w:rsidRPr="0013674A">
        <w:rPr>
          <w:rFonts w:ascii="Garamond" w:hAnsi="Garamond"/>
          <w:i/>
          <w:sz w:val="22"/>
          <w:szCs w:val="22"/>
        </w:rPr>
        <w:t xml:space="preserve">Kazimierza Wielkiego </w:t>
      </w:r>
      <w:r w:rsidRPr="0013674A">
        <w:rPr>
          <w:rFonts w:ascii="Garamond" w:hAnsi="Garamond"/>
          <w:i/>
          <w:sz w:val="22"/>
          <w:szCs w:val="22"/>
        </w:rPr>
        <w:t xml:space="preserve">w Lęborku </w:t>
      </w:r>
      <w:r w:rsidR="001A3E68" w:rsidRPr="0013674A">
        <w:rPr>
          <w:rFonts w:ascii="Garamond" w:hAnsi="Garamond"/>
          <w:i/>
          <w:sz w:val="22"/>
          <w:szCs w:val="22"/>
        </w:rPr>
        <w:t>z budową kanalizacji deszczowej</w:t>
      </w:r>
      <w:r w:rsidR="00D53DA1">
        <w:rPr>
          <w:rFonts w:ascii="Garamond" w:hAnsi="Garamond"/>
          <w:i/>
          <w:sz w:val="22"/>
          <w:szCs w:val="22"/>
        </w:rPr>
        <w:br/>
      </w:r>
      <w:r w:rsidR="001A3E68" w:rsidRPr="0013674A">
        <w:rPr>
          <w:rFonts w:ascii="Garamond" w:hAnsi="Garamond"/>
          <w:i/>
          <w:sz w:val="22"/>
          <w:szCs w:val="22"/>
        </w:rPr>
        <w:t>i oświetlenia ulicznego</w:t>
      </w:r>
      <w:r w:rsidRPr="0013674A">
        <w:rPr>
          <w:rFonts w:ascii="Garamond" w:hAnsi="Garamond"/>
          <w:i/>
          <w:sz w:val="22"/>
          <w:szCs w:val="22"/>
        </w:rPr>
        <w:t>”</w:t>
      </w:r>
      <w:r w:rsidR="001A3E68" w:rsidRPr="0013674A">
        <w:rPr>
          <w:rFonts w:ascii="Garamond" w:hAnsi="Garamond"/>
          <w:i/>
          <w:sz w:val="22"/>
          <w:szCs w:val="22"/>
        </w:rPr>
        <w:t>,</w:t>
      </w:r>
      <w:r w:rsidRPr="0013674A">
        <w:rPr>
          <w:rFonts w:ascii="Garamond" w:hAnsi="Garamond"/>
          <w:sz w:val="22"/>
          <w:szCs w:val="22"/>
        </w:rPr>
        <w:t xml:space="preserve"> przeszła z mocy prawa na własność Gminy Miasto Lębork, w wysokości </w:t>
      </w:r>
      <w:r w:rsidR="001A3E68" w:rsidRPr="0013674A">
        <w:rPr>
          <w:rFonts w:ascii="Garamond" w:hAnsi="Garamond"/>
          <w:sz w:val="22"/>
          <w:szCs w:val="22"/>
        </w:rPr>
        <w:t>1.</w:t>
      </w:r>
      <w:r w:rsidR="00B03386">
        <w:rPr>
          <w:rFonts w:ascii="Garamond" w:hAnsi="Garamond"/>
          <w:sz w:val="22"/>
          <w:szCs w:val="22"/>
        </w:rPr>
        <w:t>470</w:t>
      </w:r>
      <w:r w:rsidR="001A3E68" w:rsidRPr="0013674A">
        <w:rPr>
          <w:rFonts w:ascii="Garamond" w:hAnsi="Garamond"/>
          <w:sz w:val="22"/>
          <w:szCs w:val="22"/>
        </w:rPr>
        <w:t>,00zł (słownie: jeden tysiąc czter</w:t>
      </w:r>
      <w:r w:rsidR="00B03386">
        <w:rPr>
          <w:rFonts w:ascii="Garamond" w:hAnsi="Garamond"/>
          <w:sz w:val="22"/>
          <w:szCs w:val="22"/>
        </w:rPr>
        <w:t xml:space="preserve">ysta siedemdziesiąt złotych </w:t>
      </w:r>
      <w:r w:rsidR="001A3E68" w:rsidRPr="0013674A">
        <w:rPr>
          <w:rFonts w:ascii="Garamond" w:hAnsi="Garamond"/>
          <w:sz w:val="22"/>
          <w:szCs w:val="22"/>
        </w:rPr>
        <w:t>00/100)</w:t>
      </w:r>
      <w:r w:rsidRPr="0013674A">
        <w:rPr>
          <w:rFonts w:ascii="Garamond" w:hAnsi="Garamond"/>
          <w:sz w:val="22"/>
          <w:szCs w:val="22"/>
        </w:rPr>
        <w:t>,</w:t>
      </w:r>
    </w:p>
    <w:p w:rsidR="001A3E68" w:rsidRDefault="0042207D" w:rsidP="00EB2B96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623736">
        <w:rPr>
          <w:rFonts w:ascii="Garamond" w:hAnsi="Garamond"/>
          <w:sz w:val="22"/>
          <w:szCs w:val="22"/>
        </w:rPr>
        <w:t>odszkodowanie usta</w:t>
      </w:r>
      <w:r w:rsidR="001E3C27" w:rsidRPr="00623736">
        <w:rPr>
          <w:rFonts w:ascii="Garamond" w:hAnsi="Garamond"/>
          <w:sz w:val="22"/>
          <w:szCs w:val="22"/>
        </w:rPr>
        <w:t>lone w pkt 1 niniejszej decyzji</w:t>
      </w:r>
      <w:r w:rsidR="00584A16" w:rsidRPr="00623736">
        <w:rPr>
          <w:rFonts w:ascii="Garamond" w:hAnsi="Garamond"/>
          <w:sz w:val="22"/>
          <w:szCs w:val="22"/>
        </w:rPr>
        <w:t>,</w:t>
      </w:r>
      <w:r w:rsidR="001E3C27" w:rsidRPr="00623736">
        <w:rPr>
          <w:rFonts w:ascii="Garamond" w:hAnsi="Garamond"/>
          <w:sz w:val="22"/>
          <w:szCs w:val="22"/>
        </w:rPr>
        <w:t xml:space="preserve"> przyznać na rzecz</w:t>
      </w:r>
      <w:r w:rsidR="003D75D7">
        <w:rPr>
          <w:rFonts w:ascii="Garamond" w:hAnsi="Garamond"/>
          <w:sz w:val="22"/>
          <w:szCs w:val="22"/>
        </w:rPr>
        <w:t xml:space="preserve"> spadkobierców n.ż </w:t>
      </w:r>
      <w:r w:rsidR="00B03386">
        <w:rPr>
          <w:rFonts w:ascii="Garamond" w:hAnsi="Garamond"/>
          <w:sz w:val="22"/>
          <w:szCs w:val="22"/>
        </w:rPr>
        <w:t>Lucyny Stawickiej</w:t>
      </w:r>
      <w:r w:rsidR="003D75D7">
        <w:rPr>
          <w:rFonts w:ascii="Garamond" w:hAnsi="Garamond"/>
          <w:sz w:val="22"/>
          <w:szCs w:val="22"/>
        </w:rPr>
        <w:t xml:space="preserve"> (c. Kazimierza i Anieli) oraz n.ż. </w:t>
      </w:r>
      <w:r w:rsidR="00B03386">
        <w:rPr>
          <w:rFonts w:ascii="Garamond" w:hAnsi="Garamond"/>
          <w:sz w:val="22"/>
          <w:szCs w:val="22"/>
        </w:rPr>
        <w:t>Tadeusza Stawickiego (s. Józefa i Franciszki)</w:t>
      </w:r>
      <w:r w:rsidR="003D75D7">
        <w:rPr>
          <w:rFonts w:ascii="Garamond" w:hAnsi="Garamond"/>
          <w:sz w:val="22"/>
          <w:szCs w:val="22"/>
        </w:rPr>
        <w:t xml:space="preserve"> zamieszkałych ostatnio w Lęborku przy ul. Kazimierza Wielkiego 14/1</w:t>
      </w:r>
      <w:r w:rsidR="001A3E68">
        <w:rPr>
          <w:rFonts w:ascii="Garamond" w:hAnsi="Garamond"/>
          <w:sz w:val="22"/>
          <w:szCs w:val="22"/>
        </w:rPr>
        <w:t>,</w:t>
      </w:r>
    </w:p>
    <w:p w:rsidR="003B6399" w:rsidRPr="00B03386" w:rsidRDefault="00B03386" w:rsidP="003B6399">
      <w:pPr>
        <w:numPr>
          <w:ilvl w:val="0"/>
          <w:numId w:val="1"/>
        </w:numPr>
        <w:tabs>
          <w:tab w:val="clear" w:pos="720"/>
          <w:tab w:val="num" w:pos="0"/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B03386">
        <w:rPr>
          <w:rFonts w:ascii="Garamond" w:hAnsi="Garamond"/>
          <w:sz w:val="22"/>
          <w:szCs w:val="22"/>
        </w:rPr>
        <w:t>zobowiązać Burmistrza Miasta Lęborka do wystąpienia w terminie 14 dni od dnia, w którym niniejsza decyzja stanie się ostateczna, do Sądu Rejonowego w Lęborku z wnioskiem o zezwolenie na złożenie depozytu sądowego odszkodowania określonego w pkt 1 na rzecz osób uprawnionych określonych</w:t>
      </w:r>
      <w:r w:rsidRPr="00B03386">
        <w:rPr>
          <w:rFonts w:ascii="Garamond" w:hAnsi="Garamond"/>
          <w:sz w:val="22"/>
          <w:szCs w:val="22"/>
        </w:rPr>
        <w:br/>
        <w:t xml:space="preserve">w pkt 2, a następnie przekazania tego odszkodowania do depozytu sądowego na okres 10 lat. </w:t>
      </w:r>
      <w:r w:rsidR="002516E1" w:rsidRPr="00B03386">
        <w:rPr>
          <w:rFonts w:ascii="Garamond" w:hAnsi="Garamond"/>
          <w:sz w:val="22"/>
          <w:szCs w:val="22"/>
        </w:rPr>
        <w:t>Odszkodowanie podlega waloryzacji na dzień wypłaty. Waloryzacji dokonuje organ zobowiązany do wypłaty odszkodowania</w:t>
      </w:r>
      <w:r w:rsidR="003B6399" w:rsidRPr="00B03386">
        <w:rPr>
          <w:rFonts w:ascii="Garamond" w:hAnsi="Garamond"/>
          <w:sz w:val="22"/>
          <w:szCs w:val="22"/>
        </w:rPr>
        <w:t>.</w:t>
      </w:r>
    </w:p>
    <w:p w:rsidR="002516E1" w:rsidRPr="00BB528A" w:rsidRDefault="002516E1" w:rsidP="00BB528A">
      <w:pPr>
        <w:spacing w:line="360" w:lineRule="auto"/>
        <w:rPr>
          <w:rFonts w:ascii="Garamond" w:hAnsi="Garamond"/>
          <w:sz w:val="20"/>
          <w:szCs w:val="20"/>
        </w:rPr>
      </w:pPr>
    </w:p>
    <w:p w:rsidR="003B6399" w:rsidRPr="003B6399" w:rsidRDefault="003B6399" w:rsidP="003B639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3B6399">
        <w:rPr>
          <w:rFonts w:ascii="Garamond" w:hAnsi="Garamond"/>
          <w:b/>
          <w:sz w:val="22"/>
          <w:szCs w:val="22"/>
        </w:rPr>
        <w:t>Uzasadnienie</w:t>
      </w:r>
    </w:p>
    <w:p w:rsidR="00B33001" w:rsidRPr="00BB528A" w:rsidRDefault="00B33001" w:rsidP="00BB528A">
      <w:pPr>
        <w:rPr>
          <w:rFonts w:ascii="Garamond" w:hAnsi="Garamond"/>
          <w:sz w:val="20"/>
          <w:szCs w:val="20"/>
        </w:rPr>
      </w:pPr>
    </w:p>
    <w:p w:rsidR="002516E1" w:rsidRDefault="00241617" w:rsidP="00254C8E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dniu </w:t>
      </w:r>
      <w:r w:rsidR="004910F8">
        <w:rPr>
          <w:rFonts w:ascii="Garamond" w:hAnsi="Garamond"/>
          <w:sz w:val="22"/>
          <w:szCs w:val="22"/>
        </w:rPr>
        <w:t>14 lutego 2020 roku</w:t>
      </w:r>
      <w:r w:rsidRPr="004220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Starosta Lęborski wydał decyzję </w:t>
      </w:r>
      <w:r w:rsidRPr="0042207D">
        <w:rPr>
          <w:rFonts w:ascii="Garamond" w:hAnsi="Garamond"/>
          <w:sz w:val="22"/>
          <w:szCs w:val="22"/>
        </w:rPr>
        <w:t xml:space="preserve">nr </w:t>
      </w:r>
      <w:r w:rsidR="004910F8">
        <w:rPr>
          <w:rFonts w:ascii="Garamond" w:hAnsi="Garamond"/>
          <w:sz w:val="22"/>
          <w:szCs w:val="22"/>
        </w:rPr>
        <w:t>67/2020</w:t>
      </w:r>
      <w:r w:rsidRPr="0042207D">
        <w:rPr>
          <w:rFonts w:ascii="Garamond" w:hAnsi="Garamond"/>
          <w:sz w:val="22"/>
          <w:szCs w:val="22"/>
        </w:rPr>
        <w:t xml:space="preserve"> sygn.</w:t>
      </w:r>
      <w:r w:rsidR="004910F8">
        <w:rPr>
          <w:rFonts w:ascii="Garamond" w:hAnsi="Garamond"/>
          <w:sz w:val="22"/>
          <w:szCs w:val="22"/>
        </w:rPr>
        <w:t xml:space="preserve"> akt </w:t>
      </w:r>
      <w:r w:rsidR="004910F8" w:rsidRPr="0013674A">
        <w:rPr>
          <w:rFonts w:ascii="Garamond" w:hAnsi="Garamond"/>
          <w:sz w:val="22"/>
          <w:szCs w:val="22"/>
        </w:rPr>
        <w:t>B.6740.605.2019.GG zezwalając</w:t>
      </w:r>
      <w:r w:rsidR="004910F8">
        <w:rPr>
          <w:rFonts w:ascii="Garamond" w:hAnsi="Garamond"/>
          <w:sz w:val="22"/>
          <w:szCs w:val="22"/>
        </w:rPr>
        <w:t>ą</w:t>
      </w:r>
      <w:r w:rsidR="004910F8" w:rsidRPr="0013674A">
        <w:rPr>
          <w:rFonts w:ascii="Garamond" w:hAnsi="Garamond"/>
          <w:sz w:val="22"/>
          <w:szCs w:val="22"/>
        </w:rPr>
        <w:t xml:space="preserve"> na realizację inwestycji drogowej pod nazwą </w:t>
      </w:r>
      <w:r w:rsidR="004910F8" w:rsidRPr="0013674A">
        <w:rPr>
          <w:rFonts w:ascii="Garamond" w:hAnsi="Garamond"/>
          <w:i/>
          <w:sz w:val="22"/>
          <w:szCs w:val="22"/>
        </w:rPr>
        <w:t>„rozbudowa z przebudową ulicy Kazimierza Wielkiego w Lęborku z budową kanalizacji deszczowej i oświetlenia ulicznego”</w:t>
      </w:r>
      <w:r w:rsidR="004910F8">
        <w:rPr>
          <w:rFonts w:ascii="Garamond" w:hAnsi="Garamond"/>
          <w:i/>
          <w:sz w:val="22"/>
          <w:szCs w:val="22"/>
        </w:rPr>
        <w:t xml:space="preserve">. </w:t>
      </w:r>
      <w:r>
        <w:rPr>
          <w:rFonts w:ascii="Garamond" w:hAnsi="Garamond"/>
          <w:sz w:val="22"/>
          <w:szCs w:val="22"/>
        </w:rPr>
        <w:t xml:space="preserve">Decyzji </w:t>
      </w:r>
      <w:r w:rsidR="004910F8">
        <w:rPr>
          <w:rFonts w:ascii="Garamond" w:hAnsi="Garamond"/>
          <w:sz w:val="22"/>
          <w:szCs w:val="22"/>
        </w:rPr>
        <w:t xml:space="preserve">nie </w:t>
      </w:r>
      <w:r>
        <w:rPr>
          <w:rFonts w:ascii="Garamond" w:hAnsi="Garamond"/>
          <w:sz w:val="22"/>
          <w:szCs w:val="22"/>
        </w:rPr>
        <w:t>nadano rygor</w:t>
      </w:r>
      <w:r w:rsidR="004910F8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natychmiastowej wykonalności. </w:t>
      </w:r>
      <w:r w:rsidRPr="00B120ED">
        <w:rPr>
          <w:rFonts w:ascii="Garamond" w:hAnsi="Garamond"/>
          <w:sz w:val="22"/>
          <w:szCs w:val="22"/>
        </w:rPr>
        <w:t xml:space="preserve">Decyzja ta </w:t>
      </w:r>
      <w:r w:rsidR="004910F8">
        <w:rPr>
          <w:rFonts w:ascii="Garamond" w:hAnsi="Garamond"/>
          <w:sz w:val="22"/>
          <w:szCs w:val="22"/>
        </w:rPr>
        <w:t xml:space="preserve">stała się ostateczna w dniu 26 marca 2020 roku. </w:t>
      </w:r>
      <w:r w:rsidRPr="00B120ED">
        <w:rPr>
          <w:rFonts w:ascii="Garamond" w:hAnsi="Garamond"/>
          <w:sz w:val="22"/>
          <w:szCs w:val="22"/>
        </w:rPr>
        <w:t>Z dniem,</w:t>
      </w:r>
      <w:r w:rsidR="004910F8">
        <w:rPr>
          <w:rFonts w:ascii="Garamond" w:hAnsi="Garamond"/>
          <w:sz w:val="22"/>
          <w:szCs w:val="22"/>
        </w:rPr>
        <w:br/>
      </w:r>
      <w:r w:rsidRPr="00B120ED">
        <w:rPr>
          <w:rFonts w:ascii="Garamond" w:hAnsi="Garamond"/>
          <w:sz w:val="22"/>
          <w:szCs w:val="22"/>
        </w:rPr>
        <w:t>w którym decyzja stała się ostateczna, nieruchomości nią objęte,</w:t>
      </w:r>
      <w:r w:rsidR="004910F8"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a niestanowią</w:t>
      </w:r>
      <w:r>
        <w:rPr>
          <w:rFonts w:ascii="Garamond" w:hAnsi="Garamond"/>
          <w:sz w:val="22"/>
          <w:szCs w:val="22"/>
        </w:rPr>
        <w:t xml:space="preserve">ce własności Gminy Miasta </w:t>
      </w:r>
      <w:r>
        <w:rPr>
          <w:rFonts w:ascii="Garamond" w:hAnsi="Garamond"/>
          <w:sz w:val="22"/>
          <w:szCs w:val="22"/>
        </w:rPr>
        <w:lastRenderedPageBreak/>
        <w:t>Lębork, przeszły z mocy prawa na jej własność</w:t>
      </w:r>
      <w:r w:rsidR="005B6DD9">
        <w:rPr>
          <w:rFonts w:ascii="Garamond" w:hAnsi="Garamond"/>
          <w:sz w:val="22"/>
          <w:szCs w:val="22"/>
        </w:rPr>
        <w:t xml:space="preserve">. </w:t>
      </w:r>
      <w:r w:rsidR="00B33001" w:rsidRPr="00B120ED">
        <w:rPr>
          <w:rFonts w:ascii="Garamond" w:hAnsi="Garamond"/>
          <w:sz w:val="22"/>
          <w:szCs w:val="22"/>
        </w:rPr>
        <w:t xml:space="preserve">Decyzją tą została objęta m.in. </w:t>
      </w:r>
      <w:r w:rsidR="00C26BD7">
        <w:rPr>
          <w:rFonts w:ascii="Garamond" w:hAnsi="Garamond"/>
          <w:sz w:val="22"/>
          <w:szCs w:val="22"/>
        </w:rPr>
        <w:t xml:space="preserve">działka nr </w:t>
      </w:r>
      <w:r w:rsidR="005B6DD9">
        <w:rPr>
          <w:rFonts w:ascii="Garamond" w:hAnsi="Garamond"/>
          <w:sz w:val="22"/>
          <w:szCs w:val="22"/>
        </w:rPr>
        <w:t>239/2</w:t>
      </w:r>
      <w:r w:rsidR="005B6DD9">
        <w:rPr>
          <w:rFonts w:ascii="Garamond" w:hAnsi="Garamond"/>
          <w:sz w:val="22"/>
          <w:szCs w:val="22"/>
        </w:rPr>
        <w:br/>
      </w:r>
      <w:r w:rsidR="00C26BD7">
        <w:rPr>
          <w:rFonts w:ascii="Garamond" w:hAnsi="Garamond"/>
          <w:sz w:val="22"/>
          <w:szCs w:val="22"/>
        </w:rPr>
        <w:t xml:space="preserve">o powierzchni </w:t>
      </w:r>
      <w:r w:rsidR="005B6DD9">
        <w:rPr>
          <w:rFonts w:ascii="Garamond" w:hAnsi="Garamond"/>
          <w:sz w:val="22"/>
          <w:szCs w:val="22"/>
        </w:rPr>
        <w:t>8</w:t>
      </w:r>
      <w:r w:rsidR="00C356FC">
        <w:rPr>
          <w:rFonts w:ascii="Garamond" w:hAnsi="Garamond"/>
          <w:sz w:val="22"/>
          <w:szCs w:val="22"/>
        </w:rPr>
        <w:t>m</w:t>
      </w:r>
      <w:r w:rsidR="00C356FC" w:rsidRPr="00C356FC">
        <w:rPr>
          <w:rFonts w:ascii="Garamond" w:hAnsi="Garamond"/>
          <w:sz w:val="22"/>
          <w:szCs w:val="22"/>
          <w:vertAlign w:val="superscript"/>
        </w:rPr>
        <w:t>2</w:t>
      </w:r>
      <w:r w:rsidR="002516E1">
        <w:rPr>
          <w:rFonts w:ascii="Garamond" w:hAnsi="Garamond"/>
          <w:sz w:val="22"/>
          <w:szCs w:val="22"/>
        </w:rPr>
        <w:t xml:space="preserve"> położona</w:t>
      </w:r>
      <w:r w:rsidR="005B6DD9">
        <w:rPr>
          <w:rFonts w:ascii="Garamond" w:hAnsi="Garamond"/>
          <w:sz w:val="22"/>
          <w:szCs w:val="22"/>
        </w:rPr>
        <w:t xml:space="preserve"> </w:t>
      </w:r>
      <w:r w:rsidR="002516E1">
        <w:rPr>
          <w:rFonts w:ascii="Garamond" w:hAnsi="Garamond"/>
          <w:sz w:val="22"/>
          <w:szCs w:val="22"/>
        </w:rPr>
        <w:t xml:space="preserve">w obrębie </w:t>
      </w:r>
      <w:r w:rsidR="00C356FC">
        <w:rPr>
          <w:rFonts w:ascii="Garamond" w:hAnsi="Garamond"/>
          <w:sz w:val="22"/>
          <w:szCs w:val="22"/>
        </w:rPr>
        <w:t>3 miasta Lęborka</w:t>
      </w:r>
      <w:r w:rsidR="00C26BD7">
        <w:rPr>
          <w:rFonts w:ascii="Garamond" w:hAnsi="Garamond"/>
          <w:sz w:val="22"/>
          <w:szCs w:val="22"/>
        </w:rPr>
        <w:t xml:space="preserve">, </w:t>
      </w:r>
      <w:r w:rsidR="002516E1">
        <w:rPr>
          <w:rFonts w:ascii="Garamond" w:hAnsi="Garamond"/>
          <w:sz w:val="22"/>
          <w:szCs w:val="22"/>
        </w:rPr>
        <w:t>która powstała</w:t>
      </w:r>
      <w:r w:rsidR="00C356FC">
        <w:rPr>
          <w:rFonts w:ascii="Garamond" w:hAnsi="Garamond"/>
          <w:sz w:val="22"/>
          <w:szCs w:val="22"/>
        </w:rPr>
        <w:t xml:space="preserve"> </w:t>
      </w:r>
      <w:r w:rsidR="002516E1">
        <w:rPr>
          <w:rFonts w:ascii="Garamond" w:hAnsi="Garamond"/>
          <w:sz w:val="22"/>
          <w:szCs w:val="22"/>
        </w:rPr>
        <w:t xml:space="preserve">w wyniku zatwierdzenia podziału działki nr </w:t>
      </w:r>
      <w:r w:rsidR="005B6DD9">
        <w:rPr>
          <w:rFonts w:ascii="Garamond" w:hAnsi="Garamond"/>
          <w:sz w:val="22"/>
          <w:szCs w:val="22"/>
        </w:rPr>
        <w:t>239</w:t>
      </w:r>
      <w:r w:rsidR="002516E1">
        <w:rPr>
          <w:rFonts w:ascii="Garamond" w:hAnsi="Garamond"/>
          <w:sz w:val="22"/>
          <w:szCs w:val="22"/>
        </w:rPr>
        <w:t xml:space="preserve"> zapisanej w księdze wieczystej prowadzonej przez Sąd Rejonowy w Lęborku V Wydział Ksiąg Wieczystych nr SL1L/</w:t>
      </w:r>
      <w:r w:rsidR="001E3C27">
        <w:rPr>
          <w:rFonts w:ascii="Garamond" w:hAnsi="Garamond"/>
          <w:sz w:val="22"/>
          <w:szCs w:val="22"/>
        </w:rPr>
        <w:t>000</w:t>
      </w:r>
      <w:r w:rsidR="005B6DD9">
        <w:rPr>
          <w:rFonts w:ascii="Garamond" w:hAnsi="Garamond"/>
          <w:sz w:val="22"/>
          <w:szCs w:val="22"/>
        </w:rPr>
        <w:t>06977/4</w:t>
      </w:r>
      <w:r w:rsidR="002516E1">
        <w:rPr>
          <w:rFonts w:ascii="Garamond" w:hAnsi="Garamond"/>
          <w:sz w:val="22"/>
          <w:szCs w:val="22"/>
        </w:rPr>
        <w:t>.</w:t>
      </w:r>
    </w:p>
    <w:p w:rsidR="00241617" w:rsidRDefault="00241617" w:rsidP="00E176C3">
      <w:pPr>
        <w:spacing w:line="360" w:lineRule="auto"/>
        <w:jc w:val="both"/>
        <w:rPr>
          <w:rFonts w:ascii="Garamond" w:hAnsi="Garamond" w:cs="Arial"/>
          <w:sz w:val="16"/>
          <w:szCs w:val="16"/>
        </w:rPr>
      </w:pPr>
    </w:p>
    <w:p w:rsidR="004B72AC" w:rsidRDefault="004B72AC" w:rsidP="004B72AC">
      <w:pPr>
        <w:spacing w:after="240"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4496">
        <w:rPr>
          <w:rFonts w:ascii="Garamond" w:hAnsi="Garamond"/>
          <w:sz w:val="22"/>
          <w:szCs w:val="22"/>
        </w:rPr>
        <w:t>Do ustalenia wysokości odszkodowania oraz jego wypłacenia stosuje się odpowiednio przepisy ustawy z dnia 21 sierpnia 1997 roku o gospodarce nieru</w:t>
      </w:r>
      <w:r>
        <w:rPr>
          <w:rFonts w:ascii="Garamond" w:hAnsi="Garamond"/>
          <w:sz w:val="22"/>
          <w:szCs w:val="22"/>
        </w:rPr>
        <w:t xml:space="preserve">chomościami (t. j. Dz. U. z 2021r., poz. 1899 ze zm.) </w:t>
      </w:r>
      <w:r w:rsidRPr="00134496">
        <w:rPr>
          <w:rFonts w:ascii="Garamond" w:hAnsi="Garamond"/>
          <w:sz w:val="22"/>
          <w:szCs w:val="22"/>
        </w:rPr>
        <w:t>z zastrzeżeniem wynikającym z art. 18 cyt. wyżej ustawy o szczególnych zasadach przygotowywania</w:t>
      </w:r>
      <w:r w:rsidRPr="00134496">
        <w:rPr>
          <w:rFonts w:ascii="Garamond" w:hAnsi="Garamond"/>
          <w:sz w:val="22"/>
          <w:szCs w:val="22"/>
        </w:rPr>
        <w:br/>
        <w:t>i realizacji inwestycji w zakresie dróg publicznych, który stanowi, iż wysokość odszkodowania ustalana jest według stanu nieruchomości w dniu wydania decyzji o zezwoleniu na realizację inwestycji drogowej przez organ I instancji oraz według jej wartości z dnia, w którym następuje ust</w:t>
      </w:r>
      <w:r>
        <w:rPr>
          <w:rFonts w:ascii="Garamond" w:hAnsi="Garamond"/>
          <w:sz w:val="22"/>
          <w:szCs w:val="22"/>
        </w:rPr>
        <w:t>alenie wysokości odszkodowania.</w:t>
      </w:r>
    </w:p>
    <w:p w:rsidR="004B72AC" w:rsidRPr="00B120ED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352A37">
        <w:rPr>
          <w:rFonts w:ascii="Garamond" w:hAnsi="Garamond"/>
          <w:sz w:val="22"/>
          <w:szCs w:val="22"/>
        </w:rPr>
        <w:t xml:space="preserve">Zgodnie </w:t>
      </w:r>
      <w:r w:rsidRPr="0057558E">
        <w:rPr>
          <w:rFonts w:ascii="Garamond" w:hAnsi="Garamond"/>
          <w:sz w:val="22"/>
          <w:szCs w:val="22"/>
        </w:rPr>
        <w:t>z art. 130 ust. 2 cyt. ustawy o gospodarce nieruchomościami ustale</w:t>
      </w:r>
      <w:r w:rsidRPr="00B120ED">
        <w:rPr>
          <w:rFonts w:ascii="Garamond" w:hAnsi="Garamond"/>
          <w:sz w:val="22"/>
          <w:szCs w:val="22"/>
        </w:rPr>
        <w:t>nie wysokości odszkodowania następuje po uzyskaniu opinii rzeczoznawcy majątkowego, określającej wartość nieruchomości, zatem w postępowaniu administracyjnym w sprawie o ustalenie odszkodowania za wywłaszczenie (przejęcie z mocy prawa) nieruchomości kluczowym i podstawowym dowodem jest opinia rzeczoznawcy majątkowego o wartości nieruchomości.</w:t>
      </w:r>
    </w:p>
    <w:p w:rsidR="004B72AC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sporządzenia operatu szacunkowego określającego wartość nieruchomości objętej niniejszym postępowaniem Starosta Lęborski pierwotnie powołał rzeczoznawcę majątkowego Zygmunta Kamińskiego reprezentującego LEGIS NIERUCHOMOŚCI Wyceny i Doradztwo Prawne, następnie wskutek uchylenia się biegłego od wykonania operatu, organ postanowieniem z dnia 11 stycznia 2021 roku do sporządzenia operatu powołał rzeczoznawcę majątkowego Adama Korczaka i rzeczoznawcę majątkowego Karolinę </w:t>
      </w:r>
      <w:proofErr w:type="spellStart"/>
      <w:r>
        <w:rPr>
          <w:rFonts w:ascii="Garamond" w:hAnsi="Garamond"/>
          <w:sz w:val="22"/>
          <w:szCs w:val="22"/>
        </w:rPr>
        <w:t>Ryder</w:t>
      </w:r>
      <w:proofErr w:type="spellEnd"/>
      <w:r>
        <w:rPr>
          <w:rFonts w:ascii="Garamond" w:hAnsi="Garamond"/>
          <w:sz w:val="22"/>
          <w:szCs w:val="22"/>
        </w:rPr>
        <w:t>.</w:t>
      </w:r>
    </w:p>
    <w:p w:rsidR="004B72AC" w:rsidRPr="00B120ED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B120ED">
        <w:rPr>
          <w:rFonts w:ascii="Garamond" w:hAnsi="Garamond"/>
          <w:sz w:val="22"/>
          <w:szCs w:val="22"/>
        </w:rPr>
        <w:t xml:space="preserve">Operat szacunkowy stanowi sformalizowaną prawnie opinię rzeczoznawcy majątkowego wydawaną w zakresie posiadanych przez niego wiadomości specjalnych </w:t>
      </w:r>
      <w:r>
        <w:rPr>
          <w:rFonts w:ascii="Garamond" w:hAnsi="Garamond"/>
          <w:sz w:val="22"/>
          <w:szCs w:val="22"/>
        </w:rPr>
        <w:t>i wiedzy specjalistycznej w sferze</w:t>
      </w:r>
      <w:r w:rsidRPr="00B120ED">
        <w:rPr>
          <w:rFonts w:ascii="Garamond" w:hAnsi="Garamond"/>
          <w:sz w:val="22"/>
          <w:szCs w:val="22"/>
        </w:rPr>
        <w:t xml:space="preserve"> szacowania nieruchomości</w:t>
      </w:r>
      <w:r>
        <w:rPr>
          <w:rFonts w:ascii="Garamond" w:hAnsi="Garamond"/>
          <w:sz w:val="22"/>
          <w:szCs w:val="22"/>
        </w:rPr>
        <w:t>. Z</w:t>
      </w:r>
      <w:r w:rsidRPr="00B120ED">
        <w:rPr>
          <w:rFonts w:ascii="Garamond" w:hAnsi="Garamond"/>
          <w:sz w:val="22"/>
          <w:szCs w:val="22"/>
        </w:rPr>
        <w:t xml:space="preserve">asady i tryb </w:t>
      </w:r>
      <w:r>
        <w:rPr>
          <w:rFonts w:ascii="Garamond" w:hAnsi="Garamond"/>
          <w:sz w:val="22"/>
          <w:szCs w:val="22"/>
        </w:rPr>
        <w:t>jego s</w:t>
      </w:r>
      <w:r w:rsidRPr="00B120ED">
        <w:rPr>
          <w:rFonts w:ascii="Garamond" w:hAnsi="Garamond"/>
          <w:sz w:val="22"/>
          <w:szCs w:val="22"/>
        </w:rPr>
        <w:t>porządzania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uregulowan</w:t>
      </w:r>
      <w:r>
        <w:rPr>
          <w:rFonts w:ascii="Garamond" w:hAnsi="Garamond"/>
          <w:sz w:val="22"/>
          <w:szCs w:val="22"/>
        </w:rPr>
        <w:t>e</w:t>
      </w:r>
      <w:r w:rsidRPr="00B120ED">
        <w:rPr>
          <w:rFonts w:ascii="Garamond" w:hAnsi="Garamond"/>
          <w:sz w:val="22"/>
          <w:szCs w:val="22"/>
        </w:rPr>
        <w:t xml:space="preserve"> został</w:t>
      </w:r>
      <w:r>
        <w:rPr>
          <w:rFonts w:ascii="Garamond" w:hAnsi="Garamond"/>
          <w:sz w:val="22"/>
          <w:szCs w:val="22"/>
        </w:rPr>
        <w:t>y</w:t>
      </w:r>
      <w:r w:rsidRPr="00B120ED">
        <w:rPr>
          <w:rFonts w:ascii="Garamond" w:hAnsi="Garamond"/>
          <w:sz w:val="22"/>
          <w:szCs w:val="22"/>
        </w:rPr>
        <w:t xml:space="preserve"> w rozdziale 1 działu IV ustawy</w:t>
      </w:r>
      <w:r w:rsidR="00FD7371">
        <w:rPr>
          <w:rFonts w:ascii="Garamond" w:hAnsi="Garamond"/>
          <w:sz w:val="22"/>
          <w:szCs w:val="22"/>
        </w:rPr>
        <w:br/>
      </w:r>
      <w:r w:rsidRPr="00B120ED">
        <w:rPr>
          <w:rFonts w:ascii="Garamond" w:hAnsi="Garamond"/>
          <w:sz w:val="22"/>
          <w:szCs w:val="22"/>
        </w:rPr>
        <w:t>o gospodarce nieruchomościami oraz w Rozporządzeniu Rady Ministrów z dnia 21 września 2004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oku</w:t>
      </w:r>
      <w:r w:rsidR="00FD7371">
        <w:rPr>
          <w:rFonts w:ascii="Garamond" w:hAnsi="Garamond"/>
          <w:sz w:val="22"/>
          <w:szCs w:val="22"/>
        </w:rPr>
        <w:br/>
      </w:r>
      <w:r w:rsidRPr="00B120ED">
        <w:rPr>
          <w:rFonts w:ascii="Garamond" w:hAnsi="Garamond"/>
          <w:sz w:val="22"/>
          <w:szCs w:val="22"/>
        </w:rPr>
        <w:t>w sprawie wyceny nieruchomości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i sporządzania op</w:t>
      </w:r>
      <w:r>
        <w:rPr>
          <w:rFonts w:ascii="Garamond" w:hAnsi="Garamond"/>
          <w:sz w:val="22"/>
          <w:szCs w:val="22"/>
        </w:rPr>
        <w:t xml:space="preserve">eratu szacunkowego (Dz. U. z 2021r., </w:t>
      </w:r>
      <w:r w:rsidRPr="00B120ED">
        <w:rPr>
          <w:rFonts w:ascii="Garamond" w:hAnsi="Garamond"/>
          <w:sz w:val="22"/>
          <w:szCs w:val="22"/>
        </w:rPr>
        <w:t xml:space="preserve">poz. </w:t>
      </w:r>
      <w:r>
        <w:rPr>
          <w:rFonts w:ascii="Garamond" w:hAnsi="Garamond"/>
          <w:sz w:val="22"/>
          <w:szCs w:val="22"/>
        </w:rPr>
        <w:t>555</w:t>
      </w:r>
      <w:r w:rsidRPr="00B120ED">
        <w:rPr>
          <w:rFonts w:ascii="Garamond" w:hAnsi="Garamond"/>
          <w:sz w:val="22"/>
          <w:szCs w:val="22"/>
        </w:rPr>
        <w:t xml:space="preserve">). </w:t>
      </w:r>
      <w:r>
        <w:rPr>
          <w:rFonts w:ascii="Garamond" w:hAnsi="Garamond"/>
          <w:sz w:val="22"/>
          <w:szCs w:val="22"/>
        </w:rPr>
        <w:t xml:space="preserve">Operat szacunkowy jest </w:t>
      </w:r>
      <w:r w:rsidRPr="00B120ED">
        <w:rPr>
          <w:rFonts w:ascii="Garamond" w:hAnsi="Garamond"/>
          <w:sz w:val="22"/>
          <w:szCs w:val="22"/>
        </w:rPr>
        <w:t>dowodem w sprawie dotyczącej ustalenia odszkodowania, co za tym idzie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ma bezpośredni wpływ na treść decyzji ustalającej wysokość odszkodowania. Tylko operat szacunkowy spełniający warunki formalne</w:t>
      </w:r>
      <w:r>
        <w:rPr>
          <w:rFonts w:ascii="Garamond" w:hAnsi="Garamond"/>
          <w:sz w:val="22"/>
          <w:szCs w:val="22"/>
        </w:rPr>
        <w:t xml:space="preserve"> i</w:t>
      </w:r>
      <w:r w:rsidRPr="00B120ED">
        <w:rPr>
          <w:rFonts w:ascii="Garamond" w:hAnsi="Garamond"/>
          <w:sz w:val="22"/>
          <w:szCs w:val="22"/>
        </w:rPr>
        <w:t xml:space="preserve"> oparty na prawidłowych danych dotyczących szacowanej nieruchomości, właściwym doborze nieruchomości podobnych oraz właściwym wychwyceniu cech różniących te nieruchomości oraz nieruchomości wycenianej i właściwym ustaleniu współczynników korygujących, może stanowić podstawę rozstrzygnięcia sprawy (zob. wyrok Wojewódzkiego Sądu Administracyjnego</w:t>
      </w:r>
      <w:r w:rsidR="00FD7371"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w Gdańsku z dnia 11 lutego 2015r. sygn. akt II SA/Gd 774/14).</w:t>
      </w:r>
    </w:p>
    <w:p w:rsidR="004B72AC" w:rsidRDefault="004B72AC" w:rsidP="004B72AC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r w:rsidRPr="00B120ED">
        <w:rPr>
          <w:rFonts w:ascii="Garamond" w:hAnsi="Garamond"/>
          <w:sz w:val="22"/>
          <w:szCs w:val="22"/>
        </w:rPr>
        <w:t>perat szacunkowy</w:t>
      </w:r>
      <w:r>
        <w:rPr>
          <w:rFonts w:ascii="Garamond" w:hAnsi="Garamond"/>
          <w:sz w:val="22"/>
          <w:szCs w:val="22"/>
        </w:rPr>
        <w:t xml:space="preserve"> jako dowód w prowadzonym postępowaniu podlega ocenie organu.</w:t>
      </w:r>
      <w:r w:rsidRPr="00B120E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Organ kontroluje</w:t>
      </w:r>
      <w:r w:rsidRPr="00B120ED">
        <w:rPr>
          <w:rFonts w:ascii="Garamond" w:hAnsi="Garamond"/>
          <w:sz w:val="22"/>
          <w:szCs w:val="22"/>
        </w:rPr>
        <w:t xml:space="preserve"> czy operat zawiera wszystkie wymogi określone w rozporządzeniu Rady Ministrów z dnia 21 września 2004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oku</w:t>
      </w:r>
      <w:r w:rsidRPr="00B120ED">
        <w:rPr>
          <w:rFonts w:ascii="Garamond" w:hAnsi="Garamond"/>
          <w:sz w:val="22"/>
          <w:szCs w:val="22"/>
        </w:rPr>
        <w:t xml:space="preserve"> w sprawie wyceny nieruchomości i sporządzenia operatu szacunkowego, czy opiera się na prawidłowych danych dotyczących szacowanej nieruchomości, właściwym doborze nieruchomości </w:t>
      </w:r>
      <w:r w:rsidRPr="00B120ED">
        <w:rPr>
          <w:rFonts w:ascii="Garamond" w:hAnsi="Garamond"/>
          <w:sz w:val="22"/>
          <w:szCs w:val="22"/>
        </w:rPr>
        <w:lastRenderedPageBreak/>
        <w:t>podobnych, właściwym wychwyceniu cech różniących nieruchomości podobne od nieruchomości wycenianej i właściwym ustaleniu współczynników korygujących (zob. wyrok Naczelnego Sądu Administracyjnego z dnia 20 sierpnia 2013r., sygn. akt II OSK 829/12).</w:t>
      </w:r>
      <w:r w:rsidRPr="000D6FD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Niemniej w tym miejscu przywołać należy wyrok Wojewódzkiego Sądu Administracyjnego w Gdańsku z dnia 09 grudnia 2015 roku, sygn. akt II SA/Gd 461/15, w którym sąd ten zauważył, że </w:t>
      </w:r>
      <w:r w:rsidRPr="003D1C3A">
        <w:rPr>
          <w:rFonts w:ascii="Garamond" w:hAnsi="Garamond"/>
          <w:i/>
          <w:sz w:val="22"/>
          <w:szCs w:val="22"/>
        </w:rPr>
        <w:t xml:space="preserve">„sposoby określania wartości nieruchomości, stanowiące podejścia do ich wyceny, są uzależnione od przyjętych rodzajów czynników wpływających na wartość nieruchomości, jak stanowi art. 152 ust. 1 </w:t>
      </w:r>
      <w:proofErr w:type="spellStart"/>
      <w:r w:rsidRPr="003D1C3A">
        <w:rPr>
          <w:rFonts w:ascii="Garamond" w:hAnsi="Garamond"/>
          <w:i/>
          <w:sz w:val="22"/>
          <w:szCs w:val="22"/>
        </w:rPr>
        <w:t>u.g.n</w:t>
      </w:r>
      <w:proofErr w:type="spellEnd"/>
      <w:r w:rsidRPr="003D1C3A">
        <w:rPr>
          <w:rFonts w:ascii="Garamond" w:hAnsi="Garamond"/>
          <w:i/>
          <w:sz w:val="22"/>
          <w:szCs w:val="22"/>
        </w:rPr>
        <w:t>. Wyboru właściwego podejścia oraz metody i techniki szacowania nieruchomości dokonuje rzeczoznawca majątkowy, uwzględniając w szczególności cel wyceny, rodzaj i położenie nieruchomości, przeznaczeni</w:t>
      </w:r>
      <w:r>
        <w:rPr>
          <w:rFonts w:ascii="Garamond" w:hAnsi="Garamond"/>
          <w:i/>
          <w:sz w:val="22"/>
          <w:szCs w:val="22"/>
        </w:rPr>
        <w:t xml:space="preserve">e w planie miejscowym, stopień wyposażenia w urządzenia infrastruktury technicznej, stan jej zagospodarowania oraz dostępne dane o cechach nieruchomości podobnych (art. 154 ust. 1 </w:t>
      </w:r>
      <w:proofErr w:type="spellStart"/>
      <w:r>
        <w:rPr>
          <w:rFonts w:ascii="Garamond" w:hAnsi="Garamond"/>
          <w:i/>
          <w:sz w:val="22"/>
          <w:szCs w:val="22"/>
        </w:rPr>
        <w:t>u.g.n</w:t>
      </w:r>
      <w:proofErr w:type="spellEnd"/>
      <w:r>
        <w:rPr>
          <w:rFonts w:ascii="Garamond" w:hAnsi="Garamond"/>
          <w:i/>
          <w:sz w:val="22"/>
          <w:szCs w:val="22"/>
        </w:rPr>
        <w:t xml:space="preserve">.). Generalnie w zakres merytoryczny powyższych wyborów nie ingerują ani rozstrzygające sprawę organy administracji ani sąd administracyjny” </w:t>
      </w:r>
      <w:r w:rsidRPr="0086716D">
        <w:rPr>
          <w:rFonts w:ascii="Garamond" w:hAnsi="Garamond"/>
          <w:sz w:val="22"/>
          <w:szCs w:val="22"/>
        </w:rPr>
        <w:t>oraz zaznaczył, że</w:t>
      </w:r>
      <w:r>
        <w:rPr>
          <w:rFonts w:ascii="Garamond" w:hAnsi="Garamond"/>
          <w:i/>
          <w:sz w:val="22"/>
          <w:szCs w:val="22"/>
        </w:rPr>
        <w:t xml:space="preserve"> „organ administracji prowadzący postępowanie dysponuje wyłącznie narzędziami proceduralnymi do zbadania formalnej poprawności sporządzonego operatu, nie ma zaś instrumentów, by wkraczać w merytoryczną treść opinii rzeczoznawcy majątkowego, ponieważ nie dysponuje wiadomościami specjalnymi, które posiada biegły”.</w:t>
      </w:r>
    </w:p>
    <w:p w:rsidR="004B72AC" w:rsidRPr="008A6C1D" w:rsidRDefault="004B72AC" w:rsidP="004B72AC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Powołany do sporządzenia operatu szacunkowego biegły przedstawił organowi operat szacunkowy z dnia 11 marca 2021 roku.</w:t>
      </w:r>
    </w:p>
    <w:p w:rsidR="004B72AC" w:rsidRPr="00254C8E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B120ED">
        <w:rPr>
          <w:rFonts w:ascii="Garamond" w:hAnsi="Garamond"/>
          <w:sz w:val="22"/>
          <w:szCs w:val="22"/>
        </w:rPr>
        <w:t>Starosta Lęborski, po zapoznaniu się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 xml:space="preserve">z treścią opinii biegłego, </w:t>
      </w:r>
      <w:r w:rsidRPr="006D202D">
        <w:rPr>
          <w:rFonts w:ascii="Garamond" w:hAnsi="Garamond"/>
          <w:sz w:val="22"/>
          <w:szCs w:val="22"/>
        </w:rPr>
        <w:t xml:space="preserve">sporządził w dniu </w:t>
      </w:r>
      <w:r>
        <w:rPr>
          <w:rFonts w:ascii="Garamond" w:hAnsi="Garamond"/>
          <w:sz w:val="22"/>
          <w:szCs w:val="22"/>
        </w:rPr>
        <w:t>19 kwietnia 2021 roku pr</w:t>
      </w:r>
      <w:r w:rsidRPr="00FF5271">
        <w:rPr>
          <w:rFonts w:ascii="Garamond" w:hAnsi="Garamond"/>
          <w:sz w:val="22"/>
          <w:szCs w:val="22"/>
        </w:rPr>
        <w:t xml:space="preserve">otokół kontroli operatu szacunkowego </w:t>
      </w:r>
      <w:r>
        <w:rPr>
          <w:rFonts w:ascii="Garamond" w:hAnsi="Garamond"/>
          <w:sz w:val="22"/>
          <w:szCs w:val="22"/>
        </w:rPr>
        <w:t>i</w:t>
      </w:r>
      <w:r w:rsidRPr="00FF5271">
        <w:rPr>
          <w:rFonts w:ascii="Garamond" w:hAnsi="Garamond"/>
          <w:sz w:val="22"/>
          <w:szCs w:val="22"/>
        </w:rPr>
        <w:t xml:space="preserve"> przekazał rzeczoznawcy majątkowemu uwagi, co do budzących wątpliwości organu zapisów operatu</w:t>
      </w:r>
      <w:r>
        <w:rPr>
          <w:rFonts w:ascii="Garamond" w:hAnsi="Garamond"/>
          <w:sz w:val="22"/>
          <w:szCs w:val="22"/>
        </w:rPr>
        <w:t>, tym samym</w:t>
      </w:r>
      <w:r w:rsidRPr="00FF5271">
        <w:rPr>
          <w:rFonts w:ascii="Garamond" w:hAnsi="Garamond"/>
          <w:sz w:val="22"/>
          <w:szCs w:val="22"/>
        </w:rPr>
        <w:t xml:space="preserve"> zwrócił się z prośbą o skorygowanie operatu </w:t>
      </w:r>
      <w:r>
        <w:rPr>
          <w:rFonts w:ascii="Garamond" w:hAnsi="Garamond"/>
          <w:sz w:val="22"/>
          <w:szCs w:val="22"/>
        </w:rPr>
        <w:t xml:space="preserve">lub </w:t>
      </w:r>
      <w:r w:rsidRPr="00FF5271">
        <w:rPr>
          <w:rFonts w:ascii="Garamond" w:hAnsi="Garamond"/>
          <w:sz w:val="22"/>
          <w:szCs w:val="22"/>
        </w:rPr>
        <w:t xml:space="preserve">ustosunkowanie się do </w:t>
      </w:r>
      <w:r>
        <w:rPr>
          <w:rFonts w:ascii="Garamond" w:hAnsi="Garamond"/>
          <w:sz w:val="22"/>
          <w:szCs w:val="22"/>
        </w:rPr>
        <w:t>uwag zawartych w protokole</w:t>
      </w:r>
      <w:r w:rsidRPr="00FF5271">
        <w:rPr>
          <w:rFonts w:ascii="Garamond" w:hAnsi="Garamond"/>
          <w:sz w:val="22"/>
          <w:szCs w:val="22"/>
        </w:rPr>
        <w:t>. W odpowied</w:t>
      </w:r>
      <w:r>
        <w:rPr>
          <w:rFonts w:ascii="Garamond" w:hAnsi="Garamond"/>
          <w:sz w:val="22"/>
          <w:szCs w:val="22"/>
        </w:rPr>
        <w:t>zi na powyższe, biegły</w:t>
      </w:r>
      <w:r w:rsidRPr="00FF5271">
        <w:rPr>
          <w:rFonts w:ascii="Garamond" w:hAnsi="Garamond"/>
          <w:sz w:val="22"/>
          <w:szCs w:val="22"/>
        </w:rPr>
        <w:t xml:space="preserve"> przesłał nowy operat szacunkowy</w:t>
      </w:r>
      <w:r>
        <w:rPr>
          <w:rFonts w:ascii="Garamond" w:hAnsi="Garamond"/>
          <w:sz w:val="22"/>
          <w:szCs w:val="22"/>
        </w:rPr>
        <w:t xml:space="preserve"> z dnia 21 kwietnia 2021 roku. Organ ponownie poddał kontroli przedstawiony operat</w:t>
      </w:r>
      <w:r w:rsidR="00FD7371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i uznał go za sporządzony prawidłowo.</w:t>
      </w:r>
    </w:p>
    <w:p w:rsidR="004B72AC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Zakres wyceny z dnia 21 kwietnia 2021 roku obejmuje określenie wartości nieruchomości gruntowej wraz z częściami składowymi według stanu nieruchomości na dzień wydania decyzji zezwalającej na realizację inwestycji drogowej tj. 14 lutego 2020 roku oraz według jej wartości z dnia,</w:t>
      </w:r>
      <w:r w:rsidR="00FD737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 którym następuje ustalenie wysokości odszkodowania.</w:t>
      </w:r>
    </w:p>
    <w:p w:rsidR="004B72AC" w:rsidRDefault="004B72AC" w:rsidP="004B72AC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Zgodnie z zapisami operatu </w:t>
      </w:r>
      <w:r w:rsidRPr="00B058FA">
        <w:rPr>
          <w:rFonts w:ascii="Garamond" w:hAnsi="Garamond"/>
          <w:i/>
          <w:sz w:val="22"/>
          <w:szCs w:val="22"/>
        </w:rPr>
        <w:t>„Przedmiotem wycen</w:t>
      </w:r>
      <w:r>
        <w:rPr>
          <w:rFonts w:ascii="Garamond" w:hAnsi="Garamond"/>
          <w:i/>
          <w:sz w:val="22"/>
          <w:szCs w:val="22"/>
        </w:rPr>
        <w:t>y jest działka ewidencyjna nr 239/2</w:t>
      </w:r>
      <w:r w:rsidRPr="00B058FA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o powierzchni 8 m</w:t>
      </w:r>
      <w:r w:rsidRPr="0017788E">
        <w:rPr>
          <w:rFonts w:ascii="Garamond" w:hAnsi="Garamond"/>
          <w:i/>
          <w:sz w:val="22"/>
          <w:szCs w:val="22"/>
          <w:vertAlign w:val="superscript"/>
        </w:rPr>
        <w:t>2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B058FA">
        <w:rPr>
          <w:rFonts w:ascii="Garamond" w:hAnsi="Garamond"/>
          <w:i/>
          <w:sz w:val="22"/>
          <w:szCs w:val="22"/>
        </w:rPr>
        <w:t xml:space="preserve">z obrębu </w:t>
      </w:r>
      <w:r>
        <w:rPr>
          <w:rFonts w:ascii="Garamond" w:hAnsi="Garamond"/>
          <w:i/>
          <w:sz w:val="22"/>
          <w:szCs w:val="22"/>
        </w:rPr>
        <w:t xml:space="preserve">ewidencyjnego </w:t>
      </w:r>
      <w:r w:rsidRPr="00B058FA">
        <w:rPr>
          <w:rFonts w:ascii="Garamond" w:hAnsi="Garamond"/>
          <w:i/>
          <w:sz w:val="22"/>
          <w:szCs w:val="22"/>
        </w:rPr>
        <w:t xml:space="preserve">0003 Lębork, </w:t>
      </w:r>
      <w:r>
        <w:rPr>
          <w:rFonts w:ascii="Garamond" w:hAnsi="Garamond"/>
          <w:i/>
          <w:sz w:val="22"/>
          <w:szCs w:val="22"/>
        </w:rPr>
        <w:t>Lębork, gmina Miasto Lębork, powiat lęborski, województwo pomorskie, dla której Sąd Rejonowy w Lęborku prowadzi Księgę Wieczystą nr SL1L/00014863/1. Przedmiotowa nieruchomość znajduje się przy ul. Kazimierza Wielkiego, stanowiącą dojazd do osiedla domków jednorodzinnych. Według stanu nieruchomości na dzień Decyzji nr 67/2020 z dnia 14.02.2020 r. sąsiedztwo nieruchomości stanowią tereny zabudowane ze zrealizowaną zabudową mieszkaniową. Na gruncie znajduje się chodnik z płyt betonowych wraz z krawężnikami”.</w:t>
      </w:r>
    </w:p>
    <w:p w:rsidR="004B72AC" w:rsidRDefault="004B72AC" w:rsidP="004B72AC">
      <w:pPr>
        <w:spacing w:line="360" w:lineRule="auto"/>
        <w:ind w:firstLine="709"/>
        <w:jc w:val="both"/>
        <w:rPr>
          <w:rFonts w:ascii="Garamond" w:hAnsi="Garamond"/>
          <w:i/>
          <w:sz w:val="22"/>
          <w:szCs w:val="22"/>
        </w:rPr>
      </w:pPr>
      <w:r w:rsidRPr="00D7112E">
        <w:rPr>
          <w:rFonts w:ascii="Garamond" w:hAnsi="Garamond"/>
          <w:sz w:val="22"/>
          <w:szCs w:val="22"/>
        </w:rPr>
        <w:t>W myśl art. 154 ustawy z dnia 21 sierpnia 1997</w:t>
      </w:r>
      <w:r>
        <w:rPr>
          <w:rFonts w:ascii="Garamond" w:hAnsi="Garamond"/>
          <w:sz w:val="22"/>
          <w:szCs w:val="22"/>
        </w:rPr>
        <w:t xml:space="preserve"> </w:t>
      </w:r>
      <w:r w:rsidRPr="00D7112E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oku</w:t>
      </w:r>
      <w:r w:rsidRPr="00D7112E">
        <w:rPr>
          <w:rFonts w:ascii="Garamond" w:hAnsi="Garamond"/>
          <w:sz w:val="22"/>
          <w:szCs w:val="22"/>
        </w:rPr>
        <w:t xml:space="preserve"> o gospodarce nieruchomościami wyboru właściwego podejścia oraz metody i techniki szacowania nieruchomości dokonuje rzeczoznawca majątkowy, uwzględniając w szczególności cel wyceny, rodzaj i położenie nieruchomości, przeznaczenie</w:t>
      </w:r>
      <w:r w:rsidR="00FD7371">
        <w:rPr>
          <w:rFonts w:ascii="Garamond" w:hAnsi="Garamond"/>
          <w:sz w:val="22"/>
          <w:szCs w:val="22"/>
        </w:rPr>
        <w:t xml:space="preserve"> </w:t>
      </w:r>
      <w:r w:rsidRPr="00D7112E">
        <w:rPr>
          <w:rFonts w:ascii="Garamond" w:hAnsi="Garamond"/>
          <w:sz w:val="22"/>
          <w:szCs w:val="22"/>
        </w:rPr>
        <w:t>w planie miejscowym, stopień wyposażenia w urządzenia infrastruktury technicznej, stan jej zagospodarowania oraz dostępne dane o cenach, dochodach i cechach nieruchomości podobnych.</w:t>
      </w:r>
      <w:r>
        <w:rPr>
          <w:rFonts w:ascii="Garamond" w:hAnsi="Garamond"/>
          <w:sz w:val="22"/>
          <w:szCs w:val="22"/>
        </w:rPr>
        <w:t xml:space="preserve"> D</w:t>
      </w:r>
      <w:r w:rsidRPr="00B120ED">
        <w:rPr>
          <w:rFonts w:ascii="Garamond" w:hAnsi="Garamond"/>
          <w:sz w:val="22"/>
          <w:szCs w:val="22"/>
        </w:rPr>
        <w:t>okonana przez rzeczoznawcę majątkowego analiza u</w:t>
      </w:r>
      <w:r>
        <w:rPr>
          <w:rFonts w:ascii="Garamond" w:hAnsi="Garamond"/>
          <w:sz w:val="22"/>
          <w:szCs w:val="22"/>
        </w:rPr>
        <w:t>warunkowań prawnych, celu wyceny,</w:t>
      </w:r>
      <w:r w:rsidRPr="00B120E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rynku nieruchomości oraz ilości dostępnych </w:t>
      </w:r>
      <w:r>
        <w:rPr>
          <w:rFonts w:ascii="Garamond" w:hAnsi="Garamond"/>
          <w:sz w:val="22"/>
          <w:szCs w:val="22"/>
        </w:rPr>
        <w:lastRenderedPageBreak/>
        <w:t>danych o cenach transakcyjnych nieruchomości podobnych</w:t>
      </w:r>
      <w:r w:rsidRPr="00B120ED">
        <w:rPr>
          <w:rFonts w:ascii="Garamond" w:hAnsi="Garamond"/>
          <w:sz w:val="22"/>
          <w:szCs w:val="22"/>
        </w:rPr>
        <w:t xml:space="preserve">, wskazała </w:t>
      </w:r>
      <w:r w:rsidRPr="00F2526A">
        <w:rPr>
          <w:rFonts w:ascii="Garamond" w:hAnsi="Garamond"/>
          <w:sz w:val="22"/>
          <w:szCs w:val="22"/>
        </w:rPr>
        <w:t xml:space="preserve">na zasadność określenia wartości </w:t>
      </w:r>
      <w:r>
        <w:rPr>
          <w:rFonts w:ascii="Garamond" w:hAnsi="Garamond"/>
          <w:sz w:val="22"/>
          <w:szCs w:val="22"/>
        </w:rPr>
        <w:t xml:space="preserve">odtworzeniowej </w:t>
      </w:r>
      <w:r w:rsidRPr="00F2526A">
        <w:rPr>
          <w:rFonts w:ascii="Garamond" w:hAnsi="Garamond"/>
          <w:sz w:val="22"/>
          <w:szCs w:val="22"/>
        </w:rPr>
        <w:t>nieruchomości</w:t>
      </w:r>
      <w:r>
        <w:rPr>
          <w:rFonts w:ascii="Garamond" w:hAnsi="Garamond"/>
          <w:sz w:val="22"/>
          <w:szCs w:val="22"/>
        </w:rPr>
        <w:t xml:space="preserve"> z zastosowaniem podejścia kosztowego, przy uwzględnieniu przepisu art. 153 ust. 1 i 3 ustawy o gospodarce nieruchomościami. Zwrócić uwagę należy, że w</w:t>
      </w:r>
      <w:r w:rsidRPr="006D202D">
        <w:rPr>
          <w:rFonts w:ascii="Garamond" w:hAnsi="Garamond"/>
          <w:sz w:val="22"/>
          <w:szCs w:val="22"/>
        </w:rPr>
        <w:t xml:space="preserve"> myśl art. 134 ust. 4 ustawy o gospodarce nieruchomościami, jeż</w:t>
      </w:r>
      <w:r>
        <w:rPr>
          <w:rFonts w:ascii="Garamond" w:hAnsi="Garamond"/>
          <w:sz w:val="22"/>
          <w:szCs w:val="22"/>
        </w:rPr>
        <w:t>eli przeznaczenie nieruchomości</w:t>
      </w:r>
      <w:r w:rsidRPr="006D202D">
        <w:rPr>
          <w:rFonts w:ascii="Garamond" w:hAnsi="Garamond"/>
          <w:sz w:val="22"/>
          <w:szCs w:val="22"/>
        </w:rPr>
        <w:t xml:space="preserve"> zgodne z celem wywłaszczenia powoduje zwiększenie jej wartości, wartość nieruchomości dla celów odszkodowania, rzeczoznawca majątkowy powinien określić według alternatywnego sposobu użytkowania wynikającego z tego przeznaczenia. W pozostałych przypadkach </w:t>
      </w:r>
      <w:r w:rsidRPr="00E81215">
        <w:rPr>
          <w:rFonts w:ascii="Garamond" w:hAnsi="Garamond"/>
          <w:sz w:val="22"/>
          <w:szCs w:val="22"/>
        </w:rPr>
        <w:t xml:space="preserve">określenie wartości nieruchomości następuje na podstawie aktualnego sposobu użytkowania – art. 134 ust. </w:t>
      </w:r>
      <w:r>
        <w:rPr>
          <w:rFonts w:ascii="Garamond" w:hAnsi="Garamond"/>
          <w:sz w:val="22"/>
          <w:szCs w:val="22"/>
        </w:rPr>
        <w:t xml:space="preserve">3 cyt. ustawy. Rzeczoznawca majątkowy ustalił, że na dzień wydania decyzji zezwalającej na realizację inwestycji drogowej tj. 14 lutego 2020 roku </w:t>
      </w:r>
      <w:r w:rsidRPr="00D64B86">
        <w:rPr>
          <w:rFonts w:ascii="Garamond" w:hAnsi="Garamond"/>
          <w:i/>
          <w:sz w:val="22"/>
          <w:szCs w:val="22"/>
        </w:rPr>
        <w:t>„Nieruchomość usytuowana jest na obszarze, gdzie obowiązywał Miejscowy plan ogólnego zagospodarowania przestrzennego miasta Lęborka na obszarze obejmującym jednostki terytorialne T.8, T.II i część T.7, zatwierdzony Uchwałą nr LXV-643/2002 Rady Miejskiej w Lęborku z dnia 27.09.2002 r.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D64B86">
        <w:rPr>
          <w:rFonts w:ascii="Garamond" w:hAnsi="Garamond"/>
          <w:i/>
          <w:sz w:val="22"/>
          <w:szCs w:val="22"/>
        </w:rPr>
        <w:t>Na mapie dokumentu planowania przestrzennego, obszar nieruchomości oznaczony jest symbolem 02.01.UG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D64B86">
        <w:rPr>
          <w:rFonts w:ascii="Garamond" w:hAnsi="Garamond"/>
          <w:i/>
          <w:sz w:val="22"/>
          <w:szCs w:val="22"/>
        </w:rPr>
        <w:t xml:space="preserve">– o dominującej funkcji komercyjnej – funkcje terenów, na których prowadzona jest/będzie działalność nastawiona na zysk, np. produkcyjna, przemysłowa, składowa, usługowa, a także przeznaczonych dla infrastruktury technicznej. Ze szczegółowych ustaleń dla tego terenu elementarnego wynika zakaz lokalizacji zabudowy mieszkaniowej </w:t>
      </w:r>
      <w:r w:rsidR="00E07C08">
        <w:rPr>
          <w:rFonts w:ascii="Garamond" w:hAnsi="Garamond"/>
          <w:i/>
          <w:sz w:val="22"/>
          <w:szCs w:val="22"/>
        </w:rPr>
        <w:t xml:space="preserve">wielorodzinnej </w:t>
      </w:r>
      <w:r w:rsidRPr="00D64B86">
        <w:rPr>
          <w:rFonts w:ascii="Garamond" w:hAnsi="Garamond"/>
          <w:i/>
          <w:sz w:val="22"/>
          <w:szCs w:val="22"/>
        </w:rPr>
        <w:t>i innych niż wolnostojąca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D64B86">
        <w:rPr>
          <w:rFonts w:ascii="Garamond" w:hAnsi="Garamond"/>
          <w:i/>
          <w:sz w:val="22"/>
          <w:szCs w:val="22"/>
        </w:rPr>
        <w:t>i bliźniacza form zabudowy jednorodzinnej”</w:t>
      </w:r>
      <w:r>
        <w:rPr>
          <w:rFonts w:ascii="Garamond" w:hAnsi="Garamond"/>
          <w:sz w:val="22"/>
          <w:szCs w:val="22"/>
        </w:rPr>
        <w:t>, co potwierdza zgromadzone</w:t>
      </w:r>
      <w:r w:rsidR="00E07C0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aktach sprawy zaświadczenie Burmistrza Miasta Lęborka z dnia 2 kwietnia 2020 roku sygn. AR.6727.121.2020.Y. </w:t>
      </w:r>
      <w:r w:rsidRPr="00DC6E5D">
        <w:rPr>
          <w:rFonts w:ascii="Garamond" w:hAnsi="Garamond"/>
          <w:sz w:val="22"/>
          <w:szCs w:val="22"/>
        </w:rPr>
        <w:t>Zaznaczyć w tym miejscu należy, że „zasada korzyści” oparta jest na założeniu,</w:t>
      </w:r>
      <w:r>
        <w:rPr>
          <w:rFonts w:ascii="Garamond" w:hAnsi="Garamond"/>
          <w:sz w:val="22"/>
          <w:szCs w:val="22"/>
        </w:rPr>
        <w:t xml:space="preserve"> </w:t>
      </w:r>
      <w:r w:rsidRPr="00DC6E5D">
        <w:rPr>
          <w:rFonts w:ascii="Garamond" w:hAnsi="Garamond"/>
          <w:sz w:val="22"/>
          <w:szCs w:val="22"/>
        </w:rPr>
        <w:t>że odszkodowanie nie może pomijać zwiększenia wartości spowodowanego przeznaczeniem na cel publiczny; jeśli więc takie zwiększenie wartości rzeczywiście nastąpi, osoba wywłaszczona powinna otrzymać odszkodowanie, którego podstawy nie będzie stanowić wartość nieruchomości określona</w:t>
      </w:r>
      <w:r>
        <w:rPr>
          <w:rFonts w:ascii="Garamond" w:hAnsi="Garamond"/>
          <w:sz w:val="22"/>
          <w:szCs w:val="22"/>
        </w:rPr>
        <w:t xml:space="preserve"> </w:t>
      </w:r>
      <w:r w:rsidRPr="00DC6E5D">
        <w:rPr>
          <w:rFonts w:ascii="Garamond" w:hAnsi="Garamond"/>
          <w:sz w:val="22"/>
          <w:szCs w:val="22"/>
        </w:rPr>
        <w:t>z uwzględnieniem dotychczasowego sposobu użytkowania, lecz wartość określona z uwzględnieniem alternatywnego sposobu użytkowania, wynikającego z przeznaczenia tej nieruchomości na cel publiczny- tj. pod drogę publiczną.</w:t>
      </w:r>
      <w:r w:rsidR="00FD7371">
        <w:rPr>
          <w:rFonts w:ascii="Garamond" w:hAnsi="Garamond"/>
          <w:sz w:val="22"/>
          <w:szCs w:val="22"/>
        </w:rPr>
        <w:br/>
      </w:r>
      <w:r w:rsidRPr="00DC6E5D">
        <w:rPr>
          <w:rFonts w:ascii="Garamond" w:hAnsi="Garamond"/>
          <w:sz w:val="22"/>
          <w:szCs w:val="22"/>
        </w:rPr>
        <w:t xml:space="preserve">W niniejszym przypadku, jak stwierdził </w:t>
      </w:r>
      <w:r>
        <w:rPr>
          <w:rFonts w:ascii="Garamond" w:hAnsi="Garamond"/>
          <w:sz w:val="22"/>
          <w:szCs w:val="22"/>
        </w:rPr>
        <w:t>biegły</w:t>
      </w:r>
      <w:r w:rsidRPr="00DC6E5D">
        <w:rPr>
          <w:rFonts w:ascii="Garamond" w:hAnsi="Garamond"/>
          <w:sz w:val="22"/>
          <w:szCs w:val="22"/>
        </w:rPr>
        <w:t xml:space="preserve"> na stronie 1</w:t>
      </w:r>
      <w:r>
        <w:rPr>
          <w:rFonts w:ascii="Garamond" w:hAnsi="Garamond"/>
          <w:sz w:val="22"/>
          <w:szCs w:val="22"/>
        </w:rPr>
        <w:t xml:space="preserve">8 </w:t>
      </w:r>
      <w:r w:rsidRPr="00DC6E5D">
        <w:rPr>
          <w:rFonts w:ascii="Garamond" w:hAnsi="Garamond"/>
          <w:sz w:val="22"/>
          <w:szCs w:val="22"/>
        </w:rPr>
        <w:t>operatu</w:t>
      </w:r>
      <w:r>
        <w:rPr>
          <w:rFonts w:ascii="Garamond" w:hAnsi="Garamond"/>
          <w:sz w:val="22"/>
          <w:szCs w:val="22"/>
        </w:rPr>
        <w:t xml:space="preserve"> </w:t>
      </w:r>
      <w:r w:rsidRPr="0082669E">
        <w:rPr>
          <w:rFonts w:ascii="Garamond" w:hAnsi="Garamond"/>
          <w:i/>
          <w:sz w:val="22"/>
          <w:szCs w:val="22"/>
        </w:rPr>
        <w:t>„Z uwagi na faktyczny sposób korzystania jako zabudowa mieszkaniowa jednorodzinna, co jest zgodne z przeznaczeniem w planie zagospodarowania przestrzennego analizie poddano rynek nieruchomości niezabudowanych przeznaczonych pod zabudowę mieszkaniową, sprzedawanych jako przedmiot prawa własności</w:t>
      </w:r>
      <w:r>
        <w:rPr>
          <w:rFonts w:ascii="Garamond" w:hAnsi="Garamond"/>
          <w:sz w:val="22"/>
          <w:szCs w:val="22"/>
        </w:rPr>
        <w:t xml:space="preserve">” oraz </w:t>
      </w:r>
      <w:r w:rsidRPr="00DC6E5D">
        <w:rPr>
          <w:rFonts w:ascii="Garamond" w:hAnsi="Garamond"/>
          <w:i/>
          <w:sz w:val="22"/>
          <w:szCs w:val="22"/>
        </w:rPr>
        <w:t>„</w:t>
      </w:r>
      <w:r>
        <w:rPr>
          <w:rFonts w:ascii="Garamond" w:hAnsi="Garamond"/>
          <w:i/>
          <w:sz w:val="22"/>
          <w:szCs w:val="22"/>
        </w:rPr>
        <w:t>Z analizy rynku nieruchomości wynika, że najwyższa cena nieruchomości gruntowych przeznaczonych na cele „drogowe” jest mniejsza aniżeli najniższa cena nieruchomości gruntowych przeznaczonych na cele „mieszkaniowe”.</w:t>
      </w:r>
      <w:r>
        <w:rPr>
          <w:rFonts w:ascii="Garamond" w:hAnsi="Garamond"/>
          <w:i/>
          <w:sz w:val="22"/>
          <w:szCs w:val="22"/>
        </w:rPr>
        <w:br/>
        <w:t>W związku z tym, wyceny dokonano na podstawie analizy porównawczej transakcji nieruchomościami nabywanymi na cele mieszkaniowe, zgodnie z art. 134.3 ustawy o gospodarce nieruchomościami. W tym przypadku „zasada korzyści” nie zachodzi. Przeznaczenie zgodnie z celem wywłaszczenia nie powoduje jej zwiększenia”.</w:t>
      </w:r>
    </w:p>
    <w:p w:rsidR="004B72AC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 przeprowadzeniu obliczeń biegły stwierdził, że wartość rynkowa nieruchomości (gruntu) bez wartości odtworzeniowej obiektów budowlanych stanowi kwotę 910,00zł (słownie: dziewięćset dziesięć złotych 00/100). </w:t>
      </w:r>
    </w:p>
    <w:p w:rsidR="004B72AC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 terenie nieruchomości w dniu wydania decyzji „zrid” znajdowały się naniesienia w postaci chodnika z płyt betonowych o powierzchni 8m</w:t>
      </w:r>
      <w:r w:rsidRPr="0082669E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oraz krawężników betonowych o długości 6m. Wartość odtworzeniową obiektów budowlanych biegły oszacował w podejściu kosztowym, metodą kosztów </w:t>
      </w:r>
      <w:r>
        <w:rPr>
          <w:rFonts w:ascii="Garamond" w:hAnsi="Garamond"/>
          <w:sz w:val="22"/>
          <w:szCs w:val="22"/>
        </w:rPr>
        <w:lastRenderedPageBreak/>
        <w:t>od</w:t>
      </w:r>
      <w:r w:rsidR="00D135A2">
        <w:rPr>
          <w:rFonts w:ascii="Garamond" w:hAnsi="Garamond"/>
          <w:sz w:val="22"/>
          <w:szCs w:val="22"/>
        </w:rPr>
        <w:t>tworzenia, techniką wskaźnikową</w:t>
      </w:r>
      <w:r>
        <w:rPr>
          <w:rFonts w:ascii="Garamond" w:hAnsi="Garamond"/>
          <w:sz w:val="22"/>
          <w:szCs w:val="22"/>
        </w:rPr>
        <w:t>. Według obliczeń wartość naniesień równa jest kwocie 560,00zł (słownie: pięćset sześćdziesiąt złotych 00/100).</w:t>
      </w:r>
    </w:p>
    <w:p w:rsidR="004B72AC" w:rsidRPr="002963F5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6D202D">
        <w:rPr>
          <w:rFonts w:ascii="Garamond" w:hAnsi="Garamond"/>
          <w:sz w:val="22"/>
          <w:szCs w:val="22"/>
        </w:rPr>
        <w:t>Wartość nieruchomości ok</w:t>
      </w:r>
      <w:r>
        <w:rPr>
          <w:rFonts w:ascii="Garamond" w:hAnsi="Garamond"/>
          <w:sz w:val="22"/>
          <w:szCs w:val="22"/>
        </w:rPr>
        <w:t>reślono na dzień 21 kwietnia 2021 roku</w:t>
      </w:r>
      <w:r w:rsidRPr="006D202D">
        <w:rPr>
          <w:rFonts w:ascii="Garamond" w:hAnsi="Garamond"/>
          <w:sz w:val="22"/>
          <w:szCs w:val="22"/>
        </w:rPr>
        <w:t xml:space="preserve">, według stanu na </w:t>
      </w:r>
      <w:r>
        <w:rPr>
          <w:rFonts w:ascii="Garamond" w:hAnsi="Garamond"/>
          <w:sz w:val="22"/>
          <w:szCs w:val="22"/>
        </w:rPr>
        <w:t>14 lutego 2020 roku</w:t>
      </w:r>
      <w:r w:rsidRPr="006D202D">
        <w:rPr>
          <w:rFonts w:ascii="Garamond" w:hAnsi="Garamond"/>
          <w:sz w:val="22"/>
          <w:szCs w:val="22"/>
        </w:rPr>
        <w:t>, zatem uznać należało, że rzeczoznawca przeprowadził wycenę nieruchomości</w:t>
      </w:r>
      <w:r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w oparciu o § 36 ust 1 rozporządzenia Rady Ministrów z dnia 21 września 2004</w:t>
      </w:r>
      <w:r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r</w:t>
      </w:r>
      <w:r>
        <w:rPr>
          <w:rFonts w:ascii="Garamond" w:hAnsi="Garamond"/>
          <w:sz w:val="22"/>
          <w:szCs w:val="22"/>
        </w:rPr>
        <w:t>oku</w:t>
      </w:r>
      <w:r w:rsidRPr="006D202D">
        <w:rPr>
          <w:rFonts w:ascii="Garamond" w:hAnsi="Garamond"/>
          <w:sz w:val="22"/>
          <w:szCs w:val="22"/>
        </w:rPr>
        <w:t xml:space="preserve"> w sprawie wyceny nieruchomości</w:t>
      </w:r>
      <w:r>
        <w:rPr>
          <w:rFonts w:ascii="Garamond" w:hAnsi="Garamond"/>
          <w:sz w:val="22"/>
          <w:szCs w:val="22"/>
        </w:rPr>
        <w:br/>
      </w:r>
      <w:r w:rsidRPr="006D202D">
        <w:rPr>
          <w:rFonts w:ascii="Garamond" w:hAnsi="Garamond"/>
          <w:sz w:val="22"/>
          <w:szCs w:val="22"/>
        </w:rPr>
        <w:t xml:space="preserve">i sporządzania operatu szacunkowego, zgodnie z którym </w:t>
      </w:r>
      <w:r w:rsidRPr="006D202D">
        <w:rPr>
          <w:rFonts w:ascii="Garamond" w:hAnsi="Garamond"/>
          <w:i/>
          <w:sz w:val="22"/>
          <w:szCs w:val="22"/>
        </w:rPr>
        <w:t>„wartość nieruchomości dla potrzeb ustalenia odszkodowania za nieruchomości wywłaszczone lub przejęte z mocy prawa na podstawie przepisów ustawy z dnia 10 kwietnia 2003r. o szczególnych zasadach przygotowywania i realizacji inwestycji w zakresie dróg publicznych (…) określa się, przyjmując stan nieruchomości z dnia wydania decyzji, ceny nieruchomości z</w:t>
      </w:r>
      <w:r>
        <w:rPr>
          <w:rFonts w:ascii="Garamond" w:hAnsi="Garamond"/>
          <w:i/>
          <w:sz w:val="22"/>
          <w:szCs w:val="22"/>
        </w:rPr>
        <w:t xml:space="preserve"> dnia ustalenia odszkodowania,</w:t>
      </w:r>
      <w:r>
        <w:rPr>
          <w:rFonts w:ascii="Garamond" w:hAnsi="Garamond"/>
          <w:i/>
          <w:sz w:val="22"/>
          <w:szCs w:val="22"/>
        </w:rPr>
        <w:br/>
      </w:r>
      <w:r w:rsidRPr="006D202D">
        <w:rPr>
          <w:rFonts w:ascii="Garamond" w:hAnsi="Garamond"/>
          <w:i/>
          <w:sz w:val="22"/>
          <w:szCs w:val="22"/>
        </w:rPr>
        <w:t>a przeznaczenie nieruchomości zgodnie z art. 154 ustawy bez uwzględnienia ustaleń decyzji. Nie uwzględnia się nakładów poniesionych na nieruchomości po dniu wydania decyzji (…)”</w:t>
      </w:r>
      <w:r>
        <w:rPr>
          <w:rFonts w:ascii="Garamond" w:hAnsi="Garamond"/>
          <w:i/>
          <w:sz w:val="22"/>
          <w:szCs w:val="22"/>
        </w:rPr>
        <w:t>.</w:t>
      </w:r>
    </w:p>
    <w:p w:rsidR="004B72AC" w:rsidRDefault="004B72AC" w:rsidP="004B72AC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6D202D">
        <w:rPr>
          <w:rFonts w:ascii="Garamond" w:hAnsi="Garamond"/>
          <w:sz w:val="22"/>
          <w:szCs w:val="22"/>
        </w:rPr>
        <w:t>Biorąc powyższe pod uwagę organ ocenił operat szacunkowy sporządzony przez rzeczoznawcę majątkowego</w:t>
      </w:r>
      <w:r>
        <w:rPr>
          <w:rFonts w:ascii="Garamond" w:hAnsi="Garamond"/>
          <w:sz w:val="22"/>
          <w:szCs w:val="22"/>
        </w:rPr>
        <w:t xml:space="preserve"> Adama Korczaka</w:t>
      </w:r>
      <w:r w:rsidRPr="006D202D">
        <w:rPr>
          <w:rFonts w:ascii="Garamond" w:hAnsi="Garamond"/>
          <w:sz w:val="22"/>
          <w:szCs w:val="22"/>
        </w:rPr>
        <w:t xml:space="preserve"> pod względem formalnym i materialnym i uznał, że operat szacunkowy</w:t>
      </w:r>
      <w:r>
        <w:rPr>
          <w:rFonts w:ascii="Garamond" w:hAnsi="Garamond"/>
          <w:sz w:val="22"/>
          <w:szCs w:val="22"/>
        </w:rPr>
        <w:br/>
        <w:t xml:space="preserve">z dnia 21 kwietnia 2021 roku </w:t>
      </w:r>
      <w:r w:rsidRPr="006D202D">
        <w:rPr>
          <w:rFonts w:ascii="Garamond" w:hAnsi="Garamond"/>
          <w:sz w:val="22"/>
          <w:szCs w:val="22"/>
        </w:rPr>
        <w:t>zawiera wszystkie wymagane przepisami prawa elementy, jest spójny</w:t>
      </w:r>
      <w:r w:rsidR="00FD7371"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i logiczny</w:t>
      </w:r>
      <w:r>
        <w:rPr>
          <w:rFonts w:ascii="Garamond" w:hAnsi="Garamond"/>
          <w:sz w:val="22"/>
          <w:szCs w:val="22"/>
        </w:rPr>
        <w:t>, podpisany przez uprawnioną osobę,</w:t>
      </w:r>
      <w:r w:rsidRPr="006D202D">
        <w:rPr>
          <w:rFonts w:ascii="Garamond" w:hAnsi="Garamond"/>
          <w:sz w:val="22"/>
          <w:szCs w:val="22"/>
        </w:rPr>
        <w:t xml:space="preserve"> a tym samym zgodny</w:t>
      </w:r>
      <w:r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z przepisami rozporządzenia Rady Ministrów</w:t>
      </w:r>
      <w:r w:rsidR="00FD7371">
        <w:rPr>
          <w:rFonts w:ascii="Garamond" w:hAnsi="Garamond"/>
          <w:sz w:val="22"/>
          <w:szCs w:val="22"/>
        </w:rPr>
        <w:br/>
      </w:r>
      <w:r w:rsidRPr="006D202D">
        <w:rPr>
          <w:rFonts w:ascii="Garamond" w:hAnsi="Garamond"/>
          <w:sz w:val="22"/>
          <w:szCs w:val="22"/>
        </w:rPr>
        <w:t>w sprawie wyceny (…) a także wymogami ustawy</w:t>
      </w:r>
      <w:r>
        <w:rPr>
          <w:rFonts w:ascii="Garamond" w:hAnsi="Garamond"/>
          <w:sz w:val="22"/>
          <w:szCs w:val="22"/>
        </w:rPr>
        <w:t xml:space="preserve"> o gospodarce nieruchomościami. Wobec powyższego </w:t>
      </w:r>
      <w:r w:rsidRPr="006D202D">
        <w:rPr>
          <w:rFonts w:ascii="Garamond" w:hAnsi="Garamond"/>
          <w:sz w:val="22"/>
          <w:szCs w:val="22"/>
        </w:rPr>
        <w:t>organ uznał</w:t>
      </w:r>
      <w:r>
        <w:rPr>
          <w:rFonts w:ascii="Garamond" w:hAnsi="Garamond"/>
          <w:sz w:val="22"/>
          <w:szCs w:val="22"/>
        </w:rPr>
        <w:t xml:space="preserve">, że operat z dnia 21 kwietnia </w:t>
      </w:r>
      <w:r w:rsidRPr="006D202D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>21 roku</w:t>
      </w:r>
      <w:r w:rsidRPr="006D202D">
        <w:rPr>
          <w:rFonts w:ascii="Garamond" w:hAnsi="Garamond"/>
          <w:sz w:val="22"/>
          <w:szCs w:val="22"/>
        </w:rPr>
        <w:t xml:space="preserve"> może stanowić podstawę do określenia wysokości odszkodowania</w:t>
      </w:r>
      <w:r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w niniejszym postępowaniu</w:t>
      </w:r>
      <w:r w:rsidR="00D135A2">
        <w:rPr>
          <w:rFonts w:ascii="Garamond" w:hAnsi="Garamond"/>
          <w:sz w:val="22"/>
          <w:szCs w:val="22"/>
        </w:rPr>
        <w:t xml:space="preserve"> i </w:t>
      </w:r>
      <w:r>
        <w:rPr>
          <w:rFonts w:ascii="Garamond" w:hAnsi="Garamond"/>
          <w:sz w:val="22"/>
          <w:szCs w:val="22"/>
        </w:rPr>
        <w:t>przyjął wycenę jako dowód w sprawie. Prawidłowość sporządzenia operatu nie została podważona przez właściwą organizację samorządu zawodowego, a strony nie przedstawiły własnych wycen, wobec powyższego organ ustalił wysokość odszkodowania na podstawie wyceny z dnia 21 kwietnia 2021 roku.</w:t>
      </w:r>
    </w:p>
    <w:p w:rsidR="004B72AC" w:rsidRDefault="00FC70A6" w:rsidP="004B72AC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tym miejscu </w:t>
      </w:r>
      <w:r w:rsidR="004B72AC">
        <w:rPr>
          <w:rFonts w:ascii="Garamond" w:hAnsi="Garamond"/>
          <w:sz w:val="22"/>
          <w:szCs w:val="22"/>
        </w:rPr>
        <w:t>zwrócić należy uwagę na treść art. 18 ust. 1e ustawy</w:t>
      </w:r>
      <w:r>
        <w:rPr>
          <w:rFonts w:ascii="Garamond" w:hAnsi="Garamond"/>
          <w:sz w:val="22"/>
          <w:szCs w:val="22"/>
        </w:rPr>
        <w:t xml:space="preserve"> </w:t>
      </w:r>
      <w:r w:rsidR="004B72AC">
        <w:rPr>
          <w:rFonts w:ascii="Garamond" w:hAnsi="Garamond"/>
          <w:sz w:val="22"/>
          <w:szCs w:val="22"/>
        </w:rPr>
        <w:t xml:space="preserve">o szczególnych zasadach przygotowania i realizacji inwestycji w zakresie dróg publicznych </w:t>
      </w:r>
      <w:r w:rsidR="004B72AC">
        <w:rPr>
          <w:rFonts w:ascii="Garamond" w:hAnsi="Garamond"/>
          <w:i/>
          <w:sz w:val="22"/>
          <w:szCs w:val="22"/>
        </w:rPr>
        <w:t>„w przypadku,</w:t>
      </w:r>
      <w:r>
        <w:rPr>
          <w:rFonts w:ascii="Garamond" w:hAnsi="Garamond"/>
          <w:i/>
          <w:sz w:val="22"/>
          <w:szCs w:val="22"/>
        </w:rPr>
        <w:t xml:space="preserve"> </w:t>
      </w:r>
      <w:r w:rsidR="004B72AC">
        <w:rPr>
          <w:rFonts w:ascii="Garamond" w:hAnsi="Garamond"/>
          <w:i/>
          <w:sz w:val="22"/>
          <w:szCs w:val="22"/>
        </w:rPr>
        <w:t xml:space="preserve">w którym dotychczasowy właściciel lub użytkownik wieczysty nieruchomości objętej decyzją o zezwoleniu na realizację inwestycji drogowej odpowiednio wyda tę nieruchomość lub wyda nieruchomość i opróżni lokal oraz inne pomieszczenia niezwłocznie, lecz nie później niż w terminie 30 dni od dnia: </w:t>
      </w:r>
      <w:bookmarkStart w:id="0" w:name="mip32909207"/>
      <w:bookmarkEnd w:id="0"/>
      <w:r w:rsidR="004B72AC">
        <w:rPr>
          <w:rFonts w:ascii="Garamond" w:hAnsi="Garamond"/>
          <w:i/>
          <w:sz w:val="22"/>
          <w:szCs w:val="22"/>
        </w:rPr>
        <w:t xml:space="preserve">1) doręczenia zawiadomienia o wydaniu decyzji, o której mowa </w:t>
      </w:r>
      <w:r w:rsidR="004B72AC" w:rsidRPr="005072E5">
        <w:rPr>
          <w:rFonts w:ascii="Garamond" w:hAnsi="Garamond"/>
          <w:i/>
          <w:sz w:val="22"/>
          <w:szCs w:val="22"/>
        </w:rPr>
        <w:t xml:space="preserve">w </w:t>
      </w:r>
      <w:hyperlink r:id="rId8" w:history="1">
        <w:r w:rsidR="004B72AC" w:rsidRPr="005072E5">
          <w:rPr>
            <w:rStyle w:val="Hipercze"/>
            <w:rFonts w:ascii="Garamond" w:hAnsi="Garamond"/>
            <w:i/>
            <w:color w:val="auto"/>
            <w:sz w:val="22"/>
            <w:szCs w:val="22"/>
            <w:u w:val="none"/>
          </w:rPr>
          <w:t>art. 17</w:t>
        </w:r>
      </w:hyperlink>
      <w:r w:rsidR="004B72AC" w:rsidRPr="005072E5">
        <w:rPr>
          <w:rFonts w:ascii="Garamond" w:hAnsi="Garamond"/>
          <w:i/>
          <w:sz w:val="22"/>
          <w:szCs w:val="22"/>
        </w:rPr>
        <w:t>,</w:t>
      </w:r>
      <w:r w:rsidR="004B72AC">
        <w:rPr>
          <w:rFonts w:ascii="Garamond" w:hAnsi="Garamond"/>
          <w:i/>
          <w:sz w:val="22"/>
          <w:szCs w:val="22"/>
        </w:rPr>
        <w:t xml:space="preserve"> </w:t>
      </w:r>
      <w:bookmarkStart w:id="1" w:name="mip32909208"/>
      <w:bookmarkEnd w:id="1"/>
      <w:r w:rsidR="004B72AC">
        <w:rPr>
          <w:rFonts w:ascii="Garamond" w:hAnsi="Garamond"/>
          <w:i/>
          <w:sz w:val="22"/>
          <w:szCs w:val="22"/>
        </w:rPr>
        <w:t xml:space="preserve">2) doręczenia postanowienia o nadaniu decyzji o zezwoleniu na realizację inwestycji drogowej rygoru natychmiastowej wykonalności albo </w:t>
      </w:r>
      <w:bookmarkStart w:id="2" w:name="mip32909209"/>
      <w:bookmarkEnd w:id="2"/>
      <w:r w:rsidR="004B72AC" w:rsidRPr="00D14471">
        <w:rPr>
          <w:rFonts w:ascii="Garamond" w:hAnsi="Garamond"/>
          <w:i/>
          <w:sz w:val="22"/>
          <w:szCs w:val="22"/>
          <w:u w:val="single"/>
        </w:rPr>
        <w:t>3) w którym decyzja</w:t>
      </w:r>
      <w:r w:rsidR="00FD7371">
        <w:rPr>
          <w:rFonts w:ascii="Garamond" w:hAnsi="Garamond"/>
          <w:i/>
          <w:sz w:val="22"/>
          <w:szCs w:val="22"/>
          <w:u w:val="single"/>
        </w:rPr>
        <w:br/>
      </w:r>
      <w:r w:rsidR="004B72AC" w:rsidRPr="00D14471">
        <w:rPr>
          <w:rFonts w:ascii="Garamond" w:hAnsi="Garamond"/>
          <w:i/>
          <w:sz w:val="22"/>
          <w:szCs w:val="22"/>
          <w:u w:val="single"/>
        </w:rPr>
        <w:t>o zezwoleniu na realizację inwestycji drogowej stała się ostateczna,</w:t>
      </w:r>
      <w:bookmarkStart w:id="3" w:name="mip32909210"/>
      <w:bookmarkEnd w:id="3"/>
      <w:r w:rsidR="004B72AC">
        <w:rPr>
          <w:rFonts w:ascii="Garamond" w:hAnsi="Garamond"/>
          <w:i/>
          <w:sz w:val="22"/>
          <w:szCs w:val="22"/>
          <w:u w:val="single"/>
        </w:rPr>
        <w:t xml:space="preserve"> </w:t>
      </w:r>
      <w:r w:rsidR="004B72AC">
        <w:rPr>
          <w:rFonts w:ascii="Garamond" w:hAnsi="Garamond"/>
          <w:i/>
          <w:sz w:val="22"/>
          <w:szCs w:val="22"/>
        </w:rPr>
        <w:t xml:space="preserve">- wysokość odszkodowania powiększa się o kwotę równą 5% wartości nieruchomości lub wartości prawa użytkowania wieczystego”. </w:t>
      </w:r>
      <w:r w:rsidR="004B72AC">
        <w:rPr>
          <w:rFonts w:ascii="Garamond" w:hAnsi="Garamond"/>
          <w:sz w:val="22"/>
          <w:szCs w:val="22"/>
        </w:rPr>
        <w:t xml:space="preserve">Podkreślić należy, że zgodnie z wyrokiem Naczelnego Sądu Administracyjnego z dnia 13 września 2013 roku., sygn. akt I OSK 787/12 </w:t>
      </w:r>
      <w:r w:rsidR="004B72AC">
        <w:rPr>
          <w:rFonts w:ascii="Garamond" w:hAnsi="Garamond"/>
          <w:i/>
          <w:sz w:val="22"/>
          <w:szCs w:val="22"/>
        </w:rPr>
        <w:t xml:space="preserve">„również bierne zachowanie polegające na zaprzestaniu wykonywania uprawnień właścicielskich oznaczać może przekazanie władztwa fizycznego”. </w:t>
      </w:r>
      <w:r w:rsidR="004B72AC">
        <w:rPr>
          <w:rFonts w:ascii="Garamond" w:hAnsi="Garamond"/>
          <w:sz w:val="22"/>
          <w:szCs w:val="22"/>
        </w:rPr>
        <w:t>W świetle powyższego stwierdzić należy, że podstawą do powiększenia odszkodowania o 5% wartości nieruchomości może być ustalenie, że przed upływem terminu na wydanie nieruchomości inwestor rozpoczął roboty budowlane na działce, a zatem faktycznie objął ją w posiadanie.</w:t>
      </w:r>
    </w:p>
    <w:p w:rsidR="004B72AC" w:rsidRDefault="004B72AC" w:rsidP="004B72AC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Organ pozyskał informację Wydziału Realizacji Inwestycji Urzędu Miejskiego w Lęborku z dnia 13 maja 2020 roku, z której wynika, że w terminie określonym w ww. art. 18 ust. 1 e, Inwestor nie podjął żadnych działań związanych z realizacją inwestycji, jak również nie przejął nieruchomości. W</w:t>
      </w:r>
      <w:r w:rsidRPr="00122C05">
        <w:rPr>
          <w:rFonts w:ascii="Garamond" w:hAnsi="Garamond"/>
          <w:sz w:val="22"/>
          <w:szCs w:val="22"/>
        </w:rPr>
        <w:t xml:space="preserve">obec </w:t>
      </w:r>
      <w:r>
        <w:rPr>
          <w:rFonts w:ascii="Garamond" w:hAnsi="Garamond"/>
          <w:sz w:val="22"/>
          <w:szCs w:val="22"/>
        </w:rPr>
        <w:t>czego</w:t>
      </w:r>
      <w:r w:rsidRPr="00122C0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lastRenderedPageBreak/>
        <w:t>jednoznacznie stwierdzić należy, że w niniejszym przypadku nie przysługuje uprawnienie do powiększenia odszkodowania o 5% wartości nieruchomości.</w:t>
      </w:r>
    </w:p>
    <w:p w:rsidR="00FC70A6" w:rsidRPr="00FC70A6" w:rsidRDefault="00FC70A6" w:rsidP="004B72AC">
      <w:pPr>
        <w:spacing w:line="360" w:lineRule="auto"/>
        <w:ind w:firstLine="709"/>
        <w:jc w:val="both"/>
        <w:rPr>
          <w:rFonts w:ascii="Garamond" w:hAnsi="Garamond"/>
          <w:sz w:val="16"/>
          <w:szCs w:val="16"/>
        </w:rPr>
      </w:pPr>
    </w:p>
    <w:p w:rsidR="00FC70A6" w:rsidRDefault="00FC70A6" w:rsidP="00FC70A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B120ED">
        <w:rPr>
          <w:rFonts w:ascii="Garamond" w:hAnsi="Garamond"/>
          <w:sz w:val="22"/>
          <w:szCs w:val="22"/>
        </w:rPr>
        <w:t>Zgodnie z treścią art. 12 ust. 4f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ustawy z dnia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10 kwietnia 2003 roku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 xml:space="preserve">o szczególnych zasadach przygotowania i realizacji inwestycji w zakresie dróg publicznych </w:t>
      </w:r>
      <w:r>
        <w:rPr>
          <w:rFonts w:ascii="Garamond" w:hAnsi="Garamond"/>
          <w:sz w:val="22"/>
          <w:szCs w:val="22"/>
        </w:rPr>
        <w:t>(t. j. Dz. U. z 2022r., poz. 176</w:t>
      </w:r>
      <w:r w:rsidRPr="00ED3511">
        <w:rPr>
          <w:rFonts w:ascii="Garamond" w:hAnsi="Garamond"/>
          <w:sz w:val="22"/>
          <w:szCs w:val="22"/>
        </w:rPr>
        <w:t>)</w:t>
      </w:r>
      <w:r w:rsidRPr="00B120ED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 xml:space="preserve">w którym ustawodawca określił osoby uprawnione do uzyskania odszkodowania za odebrane prawa </w:t>
      </w:r>
      <w:r>
        <w:rPr>
          <w:rFonts w:ascii="Garamond" w:hAnsi="Garamond"/>
          <w:sz w:val="22"/>
          <w:szCs w:val="22"/>
        </w:rPr>
        <w:t xml:space="preserve">rzeczowe </w:t>
      </w:r>
      <w:r w:rsidRPr="00B120ED">
        <w:rPr>
          <w:rFonts w:ascii="Garamond" w:hAnsi="Garamond"/>
          <w:sz w:val="22"/>
          <w:szCs w:val="22"/>
        </w:rPr>
        <w:t xml:space="preserve">do nieruchomości, </w:t>
      </w:r>
      <w:r>
        <w:rPr>
          <w:rFonts w:ascii="Garamond" w:hAnsi="Garamond"/>
          <w:sz w:val="22"/>
          <w:szCs w:val="22"/>
        </w:rPr>
        <w:t>podmiotami</w:t>
      </w:r>
      <w:r w:rsidRPr="00B120ED">
        <w:rPr>
          <w:rFonts w:ascii="Garamond" w:hAnsi="Garamond"/>
          <w:sz w:val="22"/>
          <w:szCs w:val="22"/>
        </w:rPr>
        <w:t>, którym należne jest odszkodowanie są: dotychczasowy właściciel nieruchomości, użytkownik wieczysty nieruchomości, oraz osoby, którym przysługiwało do nieruchomości ograniczone prawo rzeczowe. Tylko te podmioty posiadają bezpośredni interes prawny do bycia stroną postępowania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o ustalenie odszkodowania za nieruchomości przejęte pod drogę na podstawie specustawy drogowej,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a więc posiadają indywidualny, wynikający z konkretnej normy prawa administracyjnego interes prawny (zob. wyrok Wojewódzkiego Sądu Administracyjnego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w Białymstoku</w:t>
      </w:r>
      <w:r w:rsidR="00FD7371"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 xml:space="preserve">z dnia 29 czerwca 2012r. sygn. </w:t>
      </w:r>
      <w:r>
        <w:rPr>
          <w:rFonts w:ascii="Garamond" w:hAnsi="Garamond"/>
          <w:sz w:val="22"/>
          <w:szCs w:val="22"/>
        </w:rPr>
        <w:t>a</w:t>
      </w:r>
      <w:r w:rsidRPr="00B120ED">
        <w:rPr>
          <w:rFonts w:ascii="Garamond" w:hAnsi="Garamond"/>
          <w:sz w:val="22"/>
          <w:szCs w:val="22"/>
        </w:rPr>
        <w:t>kt II SA/Bk 316/12).</w:t>
      </w:r>
    </w:p>
    <w:p w:rsidR="00FC70A6" w:rsidRDefault="00FC70A6" w:rsidP="00FC70A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5F8C">
        <w:rPr>
          <w:rFonts w:ascii="Garamond" w:hAnsi="Garamond"/>
          <w:sz w:val="22"/>
          <w:szCs w:val="22"/>
        </w:rPr>
        <w:t>Wg stanu na dzień wydania</w:t>
      </w:r>
      <w:r>
        <w:rPr>
          <w:rFonts w:ascii="Garamond" w:hAnsi="Garamond"/>
          <w:sz w:val="22"/>
          <w:szCs w:val="22"/>
        </w:rPr>
        <w:t>,</w:t>
      </w:r>
      <w:r w:rsidRPr="00135F8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jak i w dniu ostateczności</w:t>
      </w:r>
      <w:r w:rsidRPr="00135F8C">
        <w:rPr>
          <w:rFonts w:ascii="Garamond" w:hAnsi="Garamond"/>
          <w:sz w:val="22"/>
          <w:szCs w:val="22"/>
        </w:rPr>
        <w:t xml:space="preserve"> decyzji o zezwoleniu na realizację</w:t>
      </w:r>
      <w:r>
        <w:rPr>
          <w:rFonts w:ascii="Garamond" w:hAnsi="Garamond"/>
          <w:sz w:val="22"/>
          <w:szCs w:val="22"/>
        </w:rPr>
        <w:t xml:space="preserve"> inwestycji drogowej właścicielem</w:t>
      </w:r>
      <w:r w:rsidRPr="00135F8C">
        <w:rPr>
          <w:rFonts w:ascii="Garamond" w:hAnsi="Garamond"/>
          <w:sz w:val="22"/>
          <w:szCs w:val="22"/>
        </w:rPr>
        <w:t xml:space="preserve"> przedmiotowej nieruchomości ujawnion</w:t>
      </w:r>
      <w:r>
        <w:rPr>
          <w:rFonts w:ascii="Garamond" w:hAnsi="Garamond"/>
          <w:sz w:val="22"/>
          <w:szCs w:val="22"/>
        </w:rPr>
        <w:t>ym</w:t>
      </w:r>
      <w:r w:rsidRPr="00135F8C">
        <w:rPr>
          <w:rFonts w:ascii="Garamond" w:hAnsi="Garamond"/>
          <w:sz w:val="22"/>
          <w:szCs w:val="22"/>
        </w:rPr>
        <w:t xml:space="preserve"> w </w:t>
      </w:r>
      <w:r>
        <w:rPr>
          <w:rFonts w:ascii="Garamond" w:hAnsi="Garamond"/>
          <w:sz w:val="22"/>
          <w:szCs w:val="22"/>
        </w:rPr>
        <w:t xml:space="preserve">dziale II </w:t>
      </w:r>
      <w:r w:rsidRPr="00135F8C">
        <w:rPr>
          <w:rFonts w:ascii="Garamond" w:hAnsi="Garamond"/>
          <w:sz w:val="22"/>
          <w:szCs w:val="22"/>
        </w:rPr>
        <w:t>księ</w:t>
      </w:r>
      <w:r>
        <w:rPr>
          <w:rFonts w:ascii="Garamond" w:hAnsi="Garamond"/>
          <w:sz w:val="22"/>
          <w:szCs w:val="22"/>
        </w:rPr>
        <w:t>gi</w:t>
      </w:r>
      <w:r w:rsidRPr="00135F8C">
        <w:rPr>
          <w:rFonts w:ascii="Garamond" w:hAnsi="Garamond"/>
          <w:sz w:val="22"/>
          <w:szCs w:val="22"/>
        </w:rPr>
        <w:t xml:space="preserve"> wieczystej nr SL1L/</w:t>
      </w:r>
      <w:r>
        <w:rPr>
          <w:rFonts w:ascii="Garamond" w:hAnsi="Garamond"/>
          <w:sz w:val="22"/>
          <w:szCs w:val="22"/>
        </w:rPr>
        <w:t>00006977/4 byli: nieżyjący Tadeusz Stawicki (s. Józefa i Franciszki) i nieżyjąca Lucyna Stawicka</w:t>
      </w:r>
      <w:r>
        <w:rPr>
          <w:rFonts w:ascii="Garamond" w:hAnsi="Garamond"/>
          <w:sz w:val="22"/>
          <w:szCs w:val="22"/>
        </w:rPr>
        <w:br/>
        <w:t>(c. Kazimierza i Anieli) /zmarła w trakcie postępowania/ na zasadzie wspólności ustawowej majątkowej małżeńskiej. Dział III księgi wieczystej pozostawał wolny od wpisów, natomiast dział IV zawierał wpis hipoteki umownej kaucyjnej na rzecz Spółdzielczej Kasy Oszczędnościowo-Kredytowej S.K.O.K.</w:t>
      </w:r>
      <w:r w:rsidR="00FD737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im.</w:t>
      </w:r>
      <w:r w:rsidR="00FD7371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F. Stefczyka Oddziału w Lęborku.</w:t>
      </w:r>
    </w:p>
    <w:p w:rsidR="00FC70A6" w:rsidRPr="007D6456" w:rsidRDefault="00FC70A6" w:rsidP="00FC70A6">
      <w:pPr>
        <w:spacing w:line="360" w:lineRule="auto"/>
        <w:ind w:firstLine="708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podstawie zgromadzonych materiałów dowodowych </w:t>
      </w:r>
      <w:r w:rsidR="00C14E79">
        <w:rPr>
          <w:rFonts w:ascii="Garamond" w:hAnsi="Garamond"/>
          <w:sz w:val="22"/>
          <w:szCs w:val="22"/>
        </w:rPr>
        <w:t>ustalono</w:t>
      </w:r>
      <w:r>
        <w:rPr>
          <w:rFonts w:ascii="Garamond" w:hAnsi="Garamond" w:cs="Arial"/>
          <w:sz w:val="22"/>
          <w:szCs w:val="22"/>
        </w:rPr>
        <w:t>, że po zmarłych nie przeprowadzono dotychczas postępowania spadkowego /postępowanie spadkowe jest w trakcie i trudnym do określenia jest termin jego zakończenia/, wobec czego nie ma możliwości ustalenia komu przysługują prawa do nieruchomości. W tym stanie rzeczy uznać należy, że nieruchomość objęta niniejszym rozstrzygnięciem jest nieruchomością o nieuregulowanym stanie prawnym w rozumieniu przepisów art. 113 ust. 6 i 7 ustawy z dnia 21 sierpnia 1997 roku</w:t>
      </w:r>
      <w:r w:rsidR="00C14E7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o gospodarce nieruchomościami (t. j. Dz. U. z 2021r., poz. 1899 ze zm.)</w:t>
      </w:r>
      <w:r w:rsidR="00C14E79">
        <w:rPr>
          <w:rFonts w:ascii="Garamond" w:hAnsi="Garamond" w:cs="Arial"/>
          <w:sz w:val="22"/>
          <w:szCs w:val="22"/>
        </w:rPr>
        <w:t>.</w:t>
      </w:r>
    </w:p>
    <w:p w:rsidR="00FC70A6" w:rsidRDefault="00FC70A6" w:rsidP="00FC70A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związku z zapisami działu IV księgi wieczystej, organ działając na podstawie art. 18 ust. 1i ustawy</w:t>
      </w:r>
      <w:r>
        <w:rPr>
          <w:rFonts w:ascii="Garamond" w:hAnsi="Garamond"/>
          <w:sz w:val="22"/>
          <w:szCs w:val="22"/>
        </w:rPr>
        <w:br/>
        <w:t xml:space="preserve">o szczególnych zasadach </w:t>
      </w:r>
      <w:r w:rsidRPr="00B120ED">
        <w:rPr>
          <w:rFonts w:ascii="Garamond" w:hAnsi="Garamond"/>
          <w:sz w:val="22"/>
          <w:szCs w:val="22"/>
        </w:rPr>
        <w:t>przygotowania</w:t>
      </w:r>
      <w:r>
        <w:rPr>
          <w:rFonts w:ascii="Garamond" w:hAnsi="Garamond"/>
          <w:sz w:val="22"/>
          <w:szCs w:val="22"/>
        </w:rPr>
        <w:t xml:space="preserve"> </w:t>
      </w:r>
      <w:r w:rsidRPr="00B120ED">
        <w:rPr>
          <w:rFonts w:ascii="Garamond" w:hAnsi="Garamond"/>
          <w:sz w:val="22"/>
          <w:szCs w:val="22"/>
        </w:rPr>
        <w:t>i realizacji inwestycji w zakresie dróg pub</w:t>
      </w:r>
      <w:r>
        <w:rPr>
          <w:rFonts w:ascii="Garamond" w:hAnsi="Garamond"/>
          <w:sz w:val="22"/>
          <w:szCs w:val="22"/>
        </w:rPr>
        <w:t>licznych, wystąpił do wierzyciela hipotecznego o udzielenie informacji, czy wierzytelność ta przysługuje ww. jednostce oraz zwrócił się o wskazanie wysokości świadczenia głównego wierzytelności zabezpieczonej hipoteką wraz</w:t>
      </w:r>
      <w:r>
        <w:rPr>
          <w:rFonts w:ascii="Garamond" w:hAnsi="Garamond"/>
          <w:sz w:val="22"/>
          <w:szCs w:val="22"/>
        </w:rPr>
        <w:br/>
        <w:t>z odsetkami zabezpieczonymi tą hipoteką na dzień wydania decyzji „zrid” oraz aktualnych kwot.</w:t>
      </w:r>
      <w:r>
        <w:rPr>
          <w:rFonts w:ascii="Garamond" w:hAnsi="Garamond"/>
          <w:sz w:val="22"/>
          <w:szCs w:val="22"/>
        </w:rPr>
        <w:br/>
        <w:t>W odpowiedzi Spółdzielcza Kasa Oszczędnościowo-Kredytowa poinformowała, że wierzytelność zabezpieczona hipoteką została całkowicie spłacona przed wydaniem decyzji zezwalającej na realizację inwestycji drogowej.</w:t>
      </w:r>
    </w:p>
    <w:p w:rsidR="00FC70A6" w:rsidRDefault="00FC70A6" w:rsidP="00FC70A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Dlatego też organ uznał nieustalonych spadkobierców </w:t>
      </w:r>
      <w:r w:rsidR="00C14E79">
        <w:rPr>
          <w:rFonts w:ascii="Garamond" w:hAnsi="Garamond"/>
          <w:sz w:val="22"/>
          <w:szCs w:val="22"/>
        </w:rPr>
        <w:t xml:space="preserve">nieżyjącego </w:t>
      </w:r>
      <w:r>
        <w:rPr>
          <w:rFonts w:ascii="Garamond" w:hAnsi="Garamond"/>
          <w:sz w:val="22"/>
          <w:szCs w:val="22"/>
        </w:rPr>
        <w:t>Tadeusza Stawickiego</w:t>
      </w:r>
      <w:r w:rsidR="00C14E79">
        <w:rPr>
          <w:rFonts w:ascii="Garamond" w:hAnsi="Garamond"/>
          <w:sz w:val="22"/>
          <w:szCs w:val="22"/>
        </w:rPr>
        <w:t xml:space="preserve"> i nieżyjącej Lucyny Stawickiej</w:t>
      </w:r>
      <w:r>
        <w:rPr>
          <w:rFonts w:ascii="Garamond" w:hAnsi="Garamond"/>
          <w:sz w:val="22"/>
          <w:szCs w:val="22"/>
        </w:rPr>
        <w:t xml:space="preserve"> za </w:t>
      </w:r>
      <w:r w:rsidR="00C14E79">
        <w:rPr>
          <w:rFonts w:ascii="Garamond" w:hAnsi="Garamond"/>
          <w:sz w:val="22"/>
          <w:szCs w:val="22"/>
        </w:rPr>
        <w:t>podmioty</w:t>
      </w:r>
      <w:r>
        <w:rPr>
          <w:rFonts w:ascii="Garamond" w:hAnsi="Garamond"/>
          <w:sz w:val="22"/>
          <w:szCs w:val="22"/>
        </w:rPr>
        <w:t xml:space="preserve"> uprawnione do otrzymania odszkodowania za przejęcie nieruchomości objętej niniejszym postępowaniem pod realizację inwestycji drogowej, przez Gminę Miasto Lębork.</w:t>
      </w:r>
    </w:p>
    <w:p w:rsidR="007D6456" w:rsidRDefault="00D135A2" w:rsidP="007D6456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lastRenderedPageBreak/>
        <w:t xml:space="preserve">W tym miejscu zaznaczenia wymaga </w:t>
      </w:r>
      <w:r w:rsidR="007D6456">
        <w:rPr>
          <w:rFonts w:ascii="Garamond" w:hAnsi="Garamond" w:cs="Arial"/>
          <w:sz w:val="22"/>
          <w:szCs w:val="22"/>
        </w:rPr>
        <w:t>treś</w:t>
      </w:r>
      <w:r>
        <w:rPr>
          <w:rFonts w:ascii="Garamond" w:hAnsi="Garamond" w:cs="Arial"/>
          <w:sz w:val="22"/>
          <w:szCs w:val="22"/>
        </w:rPr>
        <w:t>ć</w:t>
      </w:r>
      <w:r w:rsidR="007D6456">
        <w:rPr>
          <w:rFonts w:ascii="Garamond" w:hAnsi="Garamond" w:cs="Arial"/>
          <w:sz w:val="22"/>
          <w:szCs w:val="22"/>
        </w:rPr>
        <w:t xml:space="preserve"> art. 12 ust. 5 ustawy </w:t>
      </w:r>
      <w:r w:rsidR="007D6456" w:rsidRPr="00B120ED">
        <w:rPr>
          <w:rFonts w:ascii="Garamond" w:hAnsi="Garamond"/>
          <w:sz w:val="22"/>
          <w:szCs w:val="22"/>
        </w:rPr>
        <w:t>z dnia</w:t>
      </w:r>
      <w:r w:rsidR="007D6456">
        <w:rPr>
          <w:rFonts w:ascii="Garamond" w:hAnsi="Garamond"/>
          <w:sz w:val="22"/>
          <w:szCs w:val="22"/>
        </w:rPr>
        <w:t xml:space="preserve"> </w:t>
      </w:r>
      <w:r w:rsidR="007D6456" w:rsidRPr="00B120ED">
        <w:rPr>
          <w:rFonts w:ascii="Garamond" w:hAnsi="Garamond"/>
          <w:sz w:val="22"/>
          <w:szCs w:val="22"/>
        </w:rPr>
        <w:t>10 kwietnia 2003 roku</w:t>
      </w:r>
      <w:r>
        <w:rPr>
          <w:rFonts w:ascii="Garamond" w:hAnsi="Garamond"/>
          <w:sz w:val="22"/>
          <w:szCs w:val="22"/>
        </w:rPr>
        <w:br/>
      </w:r>
      <w:r w:rsidR="007D6456" w:rsidRPr="00B120ED">
        <w:rPr>
          <w:rFonts w:ascii="Garamond" w:hAnsi="Garamond"/>
          <w:sz w:val="22"/>
          <w:szCs w:val="22"/>
        </w:rPr>
        <w:t xml:space="preserve">o szczególnych zasadach przygotowania i realizacji inwestycji w zakresie dróg publicznych </w:t>
      </w:r>
      <w:r w:rsidR="007D6456">
        <w:rPr>
          <w:rFonts w:ascii="Garamond" w:hAnsi="Garamond"/>
          <w:sz w:val="22"/>
          <w:szCs w:val="22"/>
        </w:rPr>
        <w:t>(t. j. Dz. U.</w:t>
      </w:r>
      <w:r w:rsidR="00FD7371">
        <w:rPr>
          <w:rFonts w:ascii="Garamond" w:hAnsi="Garamond"/>
          <w:sz w:val="22"/>
          <w:szCs w:val="22"/>
        </w:rPr>
        <w:br/>
      </w:r>
      <w:r w:rsidR="007D6456">
        <w:rPr>
          <w:rFonts w:ascii="Garamond" w:hAnsi="Garamond"/>
          <w:sz w:val="22"/>
          <w:szCs w:val="22"/>
        </w:rPr>
        <w:t>z 202</w:t>
      </w:r>
      <w:r w:rsidR="008C7289">
        <w:rPr>
          <w:rFonts w:ascii="Garamond" w:hAnsi="Garamond"/>
          <w:sz w:val="22"/>
          <w:szCs w:val="22"/>
        </w:rPr>
        <w:t>2</w:t>
      </w:r>
      <w:r w:rsidR="007D6456">
        <w:rPr>
          <w:rFonts w:ascii="Garamond" w:hAnsi="Garamond"/>
          <w:sz w:val="22"/>
          <w:szCs w:val="22"/>
        </w:rPr>
        <w:t>r., poz. 1</w:t>
      </w:r>
      <w:r w:rsidR="008C7289">
        <w:rPr>
          <w:rFonts w:ascii="Garamond" w:hAnsi="Garamond"/>
          <w:sz w:val="22"/>
          <w:szCs w:val="22"/>
        </w:rPr>
        <w:t>76</w:t>
      </w:r>
      <w:r w:rsidR="007D6456" w:rsidRPr="00ED3511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>, z którego wynika, że</w:t>
      </w:r>
      <w:r w:rsidR="007D6456">
        <w:rPr>
          <w:rFonts w:ascii="Garamond" w:hAnsi="Garamond"/>
          <w:sz w:val="22"/>
          <w:szCs w:val="22"/>
        </w:rPr>
        <w:t xml:space="preserve"> do ustalenia wysokości i wypłacenia odszkodowania stosuje się odpowiednio przepisy ustawy o gospodarce nieruchomościami, natomiast w myśl art. 133 ust. 6 i 7 ustawy o gospodarce nieruchomościami – za nieruchomość o nieuregulowanym stanie prawnym rozumie się nieruchomość, dla której ze względu na brak księgi wieczystej, zbioru dokumentów albo innych dokumentów nie można ustalić osób, którym przysługują </w:t>
      </w:r>
      <w:r w:rsidR="00BB7763">
        <w:rPr>
          <w:rFonts w:ascii="Garamond" w:hAnsi="Garamond"/>
          <w:sz w:val="22"/>
          <w:szCs w:val="22"/>
        </w:rPr>
        <w:t xml:space="preserve">do niej </w:t>
      </w:r>
      <w:r w:rsidR="007D6456">
        <w:rPr>
          <w:rFonts w:ascii="Garamond" w:hAnsi="Garamond"/>
          <w:sz w:val="22"/>
          <w:szCs w:val="22"/>
        </w:rPr>
        <w:t>prawa rzeczowe</w:t>
      </w:r>
      <w:r w:rsidR="00BB7763">
        <w:rPr>
          <w:rFonts w:ascii="Garamond" w:hAnsi="Garamond"/>
          <w:sz w:val="22"/>
          <w:szCs w:val="22"/>
        </w:rPr>
        <w:t>, jak również jeżeli właściciel lub użytkownik wieczysty nieruchomości nie żyje i nie przeprowadzono lub nie zostało zakończone postępowanie spadkowe.</w:t>
      </w:r>
    </w:p>
    <w:p w:rsidR="00CF2500" w:rsidRDefault="00387532" w:rsidP="00D14471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 uwagi na to, że nieruchomość będąca przedmiotem niniejszej decyzji jest nieruchomością</w:t>
      </w:r>
      <w:r>
        <w:rPr>
          <w:rFonts w:ascii="Garamond" w:hAnsi="Garamond"/>
          <w:sz w:val="22"/>
          <w:szCs w:val="22"/>
        </w:rPr>
        <w:br/>
        <w:t>o nieuregulowanym stanie prawnym, właściwy</w:t>
      </w:r>
      <w:r w:rsidR="006F25B9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 xml:space="preserve"> do zastosowania jest tryb określony w art. 118a ust. 3</w:t>
      </w:r>
      <w:r w:rsidR="006F25B9">
        <w:rPr>
          <w:rFonts w:ascii="Garamond" w:hAnsi="Garamond"/>
          <w:sz w:val="22"/>
          <w:szCs w:val="22"/>
        </w:rPr>
        <w:t xml:space="preserve"> oraz art. 133 ust. 2</w:t>
      </w:r>
      <w:r>
        <w:rPr>
          <w:rFonts w:ascii="Garamond" w:hAnsi="Garamond"/>
          <w:sz w:val="22"/>
          <w:szCs w:val="22"/>
        </w:rPr>
        <w:t xml:space="preserve"> ustawy o gospodarce nieruchomościami, z któr</w:t>
      </w:r>
      <w:r w:rsidR="006F25B9">
        <w:rPr>
          <w:rFonts w:ascii="Garamond" w:hAnsi="Garamond"/>
          <w:sz w:val="22"/>
          <w:szCs w:val="22"/>
        </w:rPr>
        <w:t>ych</w:t>
      </w:r>
      <w:r>
        <w:rPr>
          <w:rFonts w:ascii="Garamond" w:hAnsi="Garamond"/>
          <w:sz w:val="22"/>
          <w:szCs w:val="22"/>
        </w:rPr>
        <w:t xml:space="preserve"> wynika, że </w:t>
      </w:r>
      <w:r w:rsidRPr="006F25B9">
        <w:rPr>
          <w:rFonts w:ascii="Garamond" w:hAnsi="Garamond"/>
          <w:sz w:val="22"/>
          <w:szCs w:val="22"/>
        </w:rPr>
        <w:t xml:space="preserve">odszkodowanie </w:t>
      </w:r>
      <w:r w:rsidR="006F25B9">
        <w:rPr>
          <w:rFonts w:ascii="Garamond" w:hAnsi="Garamond"/>
          <w:sz w:val="22"/>
          <w:szCs w:val="22"/>
        </w:rPr>
        <w:t>za</w:t>
      </w:r>
      <w:r w:rsidR="006F25B9" w:rsidRPr="006F25B9">
        <w:rPr>
          <w:rFonts w:ascii="Garamond" w:hAnsi="Garamond"/>
          <w:sz w:val="22"/>
          <w:szCs w:val="22"/>
        </w:rPr>
        <w:t xml:space="preserve"> wywłaszczenie nieruchomości o nieuregulowanym stanie </w:t>
      </w:r>
      <w:r w:rsidR="006F25B9">
        <w:rPr>
          <w:rFonts w:ascii="Garamond" w:hAnsi="Garamond"/>
          <w:sz w:val="22"/>
          <w:szCs w:val="22"/>
        </w:rPr>
        <w:t>prawnym wpłaca się do depozytu sądowego</w:t>
      </w:r>
      <w:r w:rsidRPr="006F25B9">
        <w:rPr>
          <w:rFonts w:ascii="Garamond" w:hAnsi="Garamond"/>
          <w:sz w:val="22"/>
          <w:szCs w:val="22"/>
        </w:rPr>
        <w:t xml:space="preserve"> </w:t>
      </w:r>
      <w:r w:rsidR="006F25B9">
        <w:rPr>
          <w:rFonts w:ascii="Garamond" w:hAnsi="Garamond"/>
          <w:sz w:val="22"/>
          <w:szCs w:val="22"/>
        </w:rPr>
        <w:t>na okres 10 lat</w:t>
      </w:r>
      <w:r>
        <w:rPr>
          <w:rFonts w:ascii="Garamond" w:hAnsi="Garamond"/>
          <w:sz w:val="22"/>
          <w:szCs w:val="22"/>
        </w:rPr>
        <w:t>, przy czym jak wyjaśniono w orzecznictwie sądowym – w związku z faktem, że współwłaściciel nieruchomości nie żyje i nie zostało przeprowadzone po nim postępowanie spadkowe</w:t>
      </w:r>
      <w:r w:rsidR="006F25B9">
        <w:rPr>
          <w:rFonts w:ascii="Garamond" w:hAnsi="Garamond"/>
          <w:sz w:val="22"/>
          <w:szCs w:val="22"/>
        </w:rPr>
        <w:br/>
      </w:r>
      <w:r w:rsidRPr="00387532">
        <w:rPr>
          <w:rFonts w:ascii="Garamond" w:hAnsi="Garamond"/>
          <w:i/>
          <w:sz w:val="22"/>
          <w:szCs w:val="22"/>
        </w:rPr>
        <w:t>„w tej sytuacji odszkodowanie nie jest „za wywłaszczenie”, bo nie pozbawiono prawa żadnej konkretnej osoby, ale z tego tytułu, że została wydana decyzja o nabyciu prawa do nieruchomości przez podmiot publicznoprawny”</w:t>
      </w:r>
      <w:r>
        <w:rPr>
          <w:rFonts w:ascii="Garamond" w:hAnsi="Garamond"/>
          <w:sz w:val="22"/>
          <w:szCs w:val="22"/>
        </w:rPr>
        <w:t xml:space="preserve"> (wyrok Naczelnego Sądu Administracyjnego z dnia 27 marca 2012r. sygn. akt I OSK 2172/12)</w:t>
      </w:r>
      <w:r w:rsidR="006F25B9">
        <w:rPr>
          <w:rFonts w:ascii="Garamond" w:hAnsi="Garamond"/>
          <w:sz w:val="22"/>
          <w:szCs w:val="22"/>
        </w:rPr>
        <w:t>. Odszkodowanie</w:t>
      </w:r>
      <w:r w:rsidR="006F25B9">
        <w:rPr>
          <w:rFonts w:ascii="Garamond" w:hAnsi="Garamond"/>
          <w:sz w:val="22"/>
          <w:szCs w:val="22"/>
        </w:rPr>
        <w:br/>
        <w:t>z depozytu sądowego może zostać wypłacone osobom lub podmiotom, które wykażą się tytułem prawnym do nieruchomości objętej niniejszym rozstrzygnięciem na dzień ostateczności decyzji</w:t>
      </w:r>
      <w:r w:rsidR="00FD7371">
        <w:rPr>
          <w:rFonts w:ascii="Garamond" w:hAnsi="Garamond"/>
          <w:sz w:val="22"/>
          <w:szCs w:val="22"/>
        </w:rPr>
        <w:t xml:space="preserve"> </w:t>
      </w:r>
      <w:r w:rsidR="006F25B9">
        <w:rPr>
          <w:rFonts w:ascii="Garamond" w:hAnsi="Garamond"/>
          <w:sz w:val="22"/>
          <w:szCs w:val="22"/>
        </w:rPr>
        <w:t>o zezwoleniu na</w:t>
      </w:r>
      <w:r w:rsidR="00CF2500">
        <w:rPr>
          <w:rFonts w:ascii="Garamond" w:hAnsi="Garamond"/>
          <w:sz w:val="22"/>
          <w:szCs w:val="22"/>
        </w:rPr>
        <w:t xml:space="preserve"> realizację inwestycji drogowej.</w:t>
      </w:r>
    </w:p>
    <w:p w:rsidR="009E392D" w:rsidRPr="009E392D" w:rsidRDefault="009E392D" w:rsidP="00D14471">
      <w:pPr>
        <w:spacing w:line="360" w:lineRule="auto"/>
        <w:ind w:firstLine="709"/>
        <w:jc w:val="both"/>
        <w:rPr>
          <w:rFonts w:ascii="Garamond" w:hAnsi="Garamond"/>
          <w:sz w:val="16"/>
          <w:szCs w:val="16"/>
        </w:rPr>
      </w:pPr>
    </w:p>
    <w:p w:rsidR="00D14471" w:rsidRDefault="00D14471" w:rsidP="00D1447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Art. 22 ust. 1 ustawy o szczególnych zasadach przygotowywania i realizacji inwestycji</w:t>
      </w:r>
      <w:r>
        <w:rPr>
          <w:rFonts w:ascii="Garamond" w:hAnsi="Garamond"/>
          <w:sz w:val="22"/>
          <w:szCs w:val="22"/>
        </w:rPr>
        <w:br/>
        <w:t xml:space="preserve">w zakresie dróg publicznych wskazuje, że </w:t>
      </w:r>
      <w:r>
        <w:rPr>
          <w:rFonts w:ascii="Garamond" w:hAnsi="Garamond"/>
          <w:i/>
          <w:sz w:val="22"/>
          <w:szCs w:val="22"/>
        </w:rPr>
        <w:t>„koszty nabycia nieruchomości pod drogi, w tym odszkodowania, finansowane są na podstawie przepisów o finansowaniu infrastruktury transportu lądowego, przepisów o drogach publicznych oraz przepisów o autostradach płatnych oraz o Krajowym Funduszu Drogowym”</w:t>
      </w:r>
      <w:r>
        <w:rPr>
          <w:rFonts w:ascii="Garamond" w:hAnsi="Garamond"/>
          <w:sz w:val="22"/>
          <w:szCs w:val="22"/>
        </w:rPr>
        <w:t>. Z kolei w art. 3 ust. 2 ustawy z dnia 16 grudnia 2005 roku o finansowaniu infrastruktury transportu lądowego (t. j. Dz. U. z 2021r. poz. 688) stwierdza się, że zadania w zakresie budowy, przebudowy, remontu, utrzymania i ochrony dróg gminnych oraz zarządzania nimi finansowane są z budżetu gminnego. Art. 19 ust. 1 ustawy z dnia 21 marca 1985 roku o drogach publicznych (t. j. Dz. U. z 202</w:t>
      </w:r>
      <w:r w:rsidR="00C14E79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r., poz. </w:t>
      </w:r>
      <w:r w:rsidR="00C14E79">
        <w:rPr>
          <w:rFonts w:ascii="Garamond" w:hAnsi="Garamond"/>
          <w:sz w:val="22"/>
          <w:szCs w:val="22"/>
        </w:rPr>
        <w:t>1376</w:t>
      </w:r>
      <w:r>
        <w:rPr>
          <w:rFonts w:ascii="Garamond" w:hAnsi="Garamond"/>
          <w:sz w:val="22"/>
          <w:szCs w:val="22"/>
        </w:rPr>
        <w:t xml:space="preserve"> ze zm.) wskazuje, że </w:t>
      </w:r>
      <w:r>
        <w:rPr>
          <w:rFonts w:ascii="Garamond" w:hAnsi="Garamond"/>
          <w:i/>
          <w:sz w:val="22"/>
          <w:szCs w:val="22"/>
        </w:rPr>
        <w:t xml:space="preserve">„organ administracji rządowej lub jednostki samorządu terytorialnego, do którego właściwości należą sprawy z zakresu planowania, budowy, przebudowy, remontu, utrzymania i ochrony dróg jest zarządcą drogi”, </w:t>
      </w:r>
      <w:r w:rsidRPr="00C24DEA">
        <w:rPr>
          <w:rFonts w:ascii="Garamond" w:hAnsi="Garamond"/>
          <w:sz w:val="22"/>
          <w:szCs w:val="22"/>
        </w:rPr>
        <w:t>z kolei</w:t>
      </w:r>
      <w:r>
        <w:rPr>
          <w:rFonts w:ascii="Garamond" w:hAnsi="Garamond"/>
          <w:sz w:val="22"/>
          <w:szCs w:val="22"/>
        </w:rPr>
        <w:t xml:space="preserve"> zarządcą dróg gminnych, zgodnie</w:t>
      </w:r>
      <w:r w:rsidR="00FD737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 art. 19 ust. 2 pkt 4 ustawy o drogach publicznych jest odpowiednio: wójt, burmistrz lub prezydent miasta. Biorąc pod uwagę powyższe należy uznać, że właściwym do wypłaty odszkodowania za nieruchomość położoną</w:t>
      </w:r>
      <w:r w:rsidR="00C14E7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w obrębie</w:t>
      </w:r>
      <w:r w:rsidR="00FD7371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3 miasta Lęborka, oznaczoną jako działka nr 2</w:t>
      </w:r>
      <w:r w:rsidR="00387532">
        <w:rPr>
          <w:rFonts w:ascii="Garamond" w:hAnsi="Garamond"/>
          <w:sz w:val="22"/>
          <w:szCs w:val="22"/>
        </w:rPr>
        <w:t>39/2</w:t>
      </w:r>
      <w:r>
        <w:rPr>
          <w:rFonts w:ascii="Garamond" w:hAnsi="Garamond"/>
          <w:sz w:val="22"/>
          <w:szCs w:val="22"/>
        </w:rPr>
        <w:t xml:space="preserve"> jest Burmistrz Miasta Lęborka.</w:t>
      </w:r>
    </w:p>
    <w:p w:rsidR="00D14471" w:rsidRPr="00D14471" w:rsidRDefault="00D14471" w:rsidP="00D14471">
      <w:pPr>
        <w:spacing w:line="360" w:lineRule="auto"/>
        <w:ind w:firstLine="709"/>
        <w:jc w:val="both"/>
        <w:rPr>
          <w:rFonts w:ascii="Garamond" w:hAnsi="Garamond"/>
          <w:sz w:val="16"/>
          <w:szCs w:val="16"/>
        </w:rPr>
      </w:pPr>
    </w:p>
    <w:p w:rsidR="00EC2509" w:rsidRPr="00906A3C" w:rsidRDefault="00EC2509" w:rsidP="00EC250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6D202D">
        <w:rPr>
          <w:rFonts w:ascii="Garamond" w:hAnsi="Garamond"/>
          <w:sz w:val="22"/>
          <w:szCs w:val="22"/>
        </w:rPr>
        <w:tab/>
        <w:t xml:space="preserve">W </w:t>
      </w:r>
      <w:r>
        <w:rPr>
          <w:rFonts w:ascii="Garamond" w:hAnsi="Garamond"/>
          <w:sz w:val="22"/>
          <w:szCs w:val="22"/>
        </w:rPr>
        <w:t xml:space="preserve">ostatnim </w:t>
      </w:r>
      <w:r w:rsidRPr="006D202D">
        <w:rPr>
          <w:rFonts w:ascii="Garamond" w:hAnsi="Garamond"/>
          <w:sz w:val="22"/>
          <w:szCs w:val="22"/>
        </w:rPr>
        <w:t>etapie postępowania organ</w:t>
      </w:r>
      <w:r w:rsidR="00ED01BB"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zgodnie z art. 10 ustawy</w:t>
      </w:r>
      <w:r w:rsidR="00D135A2"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z dnia 14 czerwca 1960 roku Kodeks postępowania administracyjnego zawi</w:t>
      </w:r>
      <w:r>
        <w:rPr>
          <w:rFonts w:ascii="Garamond" w:hAnsi="Garamond"/>
          <w:sz w:val="22"/>
          <w:szCs w:val="22"/>
        </w:rPr>
        <w:t>adomił strony</w:t>
      </w:r>
      <w:r w:rsidR="00D135A2">
        <w:rPr>
          <w:rFonts w:ascii="Garamond" w:hAnsi="Garamond"/>
          <w:sz w:val="22"/>
          <w:szCs w:val="22"/>
        </w:rPr>
        <w:t xml:space="preserve"> </w:t>
      </w:r>
      <w:r w:rsidRPr="006D202D">
        <w:rPr>
          <w:rFonts w:ascii="Garamond" w:hAnsi="Garamond"/>
          <w:sz w:val="22"/>
          <w:szCs w:val="22"/>
        </w:rPr>
        <w:t>o możliwości zapoznania się</w:t>
      </w:r>
      <w:r w:rsidR="00D135A2">
        <w:rPr>
          <w:rFonts w:ascii="Garamond" w:hAnsi="Garamond"/>
          <w:sz w:val="22"/>
          <w:szCs w:val="22"/>
        </w:rPr>
        <w:br/>
      </w:r>
      <w:r w:rsidRPr="006D202D">
        <w:rPr>
          <w:rFonts w:ascii="Garamond" w:hAnsi="Garamond"/>
          <w:sz w:val="22"/>
          <w:szCs w:val="22"/>
        </w:rPr>
        <w:t>i wypowiedzenia, co do zebranego materiału dowodowego w prowadzonym postępowaniu</w:t>
      </w:r>
      <w:r>
        <w:rPr>
          <w:rFonts w:ascii="Garamond" w:hAnsi="Garamond"/>
          <w:sz w:val="22"/>
          <w:szCs w:val="22"/>
        </w:rPr>
        <w:t xml:space="preserve"> przed wydaniem </w:t>
      </w:r>
      <w:r>
        <w:rPr>
          <w:rFonts w:ascii="Garamond" w:hAnsi="Garamond"/>
          <w:sz w:val="22"/>
          <w:szCs w:val="22"/>
        </w:rPr>
        <w:lastRenderedPageBreak/>
        <w:t>decyzji</w:t>
      </w:r>
      <w:r w:rsidRPr="006D202D">
        <w:rPr>
          <w:rFonts w:ascii="Garamond" w:hAnsi="Garamond"/>
          <w:sz w:val="22"/>
          <w:szCs w:val="22"/>
        </w:rPr>
        <w:t>.</w:t>
      </w:r>
      <w:r w:rsidR="006F25B9">
        <w:rPr>
          <w:rFonts w:ascii="Garamond" w:hAnsi="Garamond"/>
          <w:sz w:val="22"/>
          <w:szCs w:val="22"/>
        </w:rPr>
        <w:t xml:space="preserve"> </w:t>
      </w:r>
      <w:r w:rsidR="00D135A2">
        <w:rPr>
          <w:rFonts w:ascii="Garamond" w:hAnsi="Garamond"/>
          <w:sz w:val="22"/>
          <w:szCs w:val="22"/>
        </w:rPr>
        <w:t xml:space="preserve">Strony zawiadomiono poprzez wysłanie stosownego zawiadomienia oraz </w:t>
      </w:r>
      <w:r w:rsidR="006F25B9">
        <w:rPr>
          <w:rFonts w:ascii="Garamond" w:hAnsi="Garamond"/>
          <w:sz w:val="22"/>
          <w:szCs w:val="22"/>
        </w:rPr>
        <w:t>podan</w:t>
      </w:r>
      <w:r w:rsidR="00D135A2">
        <w:rPr>
          <w:rFonts w:ascii="Garamond" w:hAnsi="Garamond"/>
          <w:sz w:val="22"/>
          <w:szCs w:val="22"/>
        </w:rPr>
        <w:t xml:space="preserve">ie treści zawiadomienia </w:t>
      </w:r>
      <w:r w:rsidR="006F25B9">
        <w:rPr>
          <w:rFonts w:ascii="Garamond" w:hAnsi="Garamond"/>
          <w:sz w:val="22"/>
          <w:szCs w:val="22"/>
        </w:rPr>
        <w:t xml:space="preserve">do publicznej wiadomości w Biuletynie Informacji Publicznej organu oraz na tablicach ogłoszeń </w:t>
      </w:r>
      <w:r w:rsidR="00D135A2">
        <w:rPr>
          <w:rFonts w:ascii="Garamond" w:hAnsi="Garamond"/>
          <w:sz w:val="22"/>
          <w:szCs w:val="22"/>
        </w:rPr>
        <w:t>Starostwa Powiatowego w Lębork</w:t>
      </w:r>
      <w:r w:rsidR="00CF2500">
        <w:rPr>
          <w:rFonts w:ascii="Garamond" w:hAnsi="Garamond"/>
          <w:sz w:val="22"/>
          <w:szCs w:val="22"/>
        </w:rPr>
        <w:t>u</w:t>
      </w:r>
      <w:r w:rsidR="00D135A2">
        <w:rPr>
          <w:rFonts w:ascii="Garamond" w:hAnsi="Garamond"/>
          <w:sz w:val="22"/>
          <w:szCs w:val="22"/>
        </w:rPr>
        <w:t xml:space="preserve">. </w:t>
      </w:r>
      <w:r w:rsidR="006F25B9">
        <w:rPr>
          <w:rFonts w:ascii="Garamond" w:hAnsi="Garamond"/>
          <w:sz w:val="22"/>
          <w:szCs w:val="22"/>
        </w:rPr>
        <w:t>W terminie wyznaczonym w zawiadomieniu nie zostały wniesione uwagi i zastrzeżenia do zgromadzonego materiału.</w:t>
      </w:r>
    </w:p>
    <w:p w:rsidR="00EC2509" w:rsidRDefault="006F25B9" w:rsidP="00EC2509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Mając na uwadze powyższe okoliczności faktyczne i prawne</w:t>
      </w:r>
      <w:r w:rsidR="00EC2509" w:rsidRPr="006D202D">
        <w:rPr>
          <w:rFonts w:ascii="Garamond" w:hAnsi="Garamond"/>
          <w:sz w:val="22"/>
          <w:szCs w:val="22"/>
        </w:rPr>
        <w:t>, orzeczono jak w sentencji decyzji.</w:t>
      </w:r>
    </w:p>
    <w:p w:rsidR="00ED01BB" w:rsidRDefault="00ED01BB" w:rsidP="00EC2509">
      <w:pPr>
        <w:spacing w:line="276" w:lineRule="auto"/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</w:p>
    <w:p w:rsidR="00B15F2D" w:rsidRPr="001F28E4" w:rsidRDefault="00B15F2D" w:rsidP="00EC2509">
      <w:pPr>
        <w:spacing w:line="276" w:lineRule="auto"/>
        <w:jc w:val="both"/>
        <w:rPr>
          <w:rFonts w:ascii="Garamond" w:eastAsia="Bookman Old Style" w:hAnsi="Garamond"/>
          <w:bCs/>
          <w:sz w:val="22"/>
          <w:szCs w:val="22"/>
          <w:u w:val="single"/>
        </w:rPr>
      </w:pPr>
      <w:r w:rsidRPr="001F28E4">
        <w:rPr>
          <w:rFonts w:ascii="Garamond" w:eastAsia="Bookman Old Style" w:hAnsi="Garamond"/>
          <w:bCs/>
          <w:sz w:val="22"/>
          <w:szCs w:val="22"/>
          <w:u w:val="single"/>
        </w:rPr>
        <w:t>Pouczenie:</w:t>
      </w:r>
    </w:p>
    <w:p w:rsidR="00B15F2D" w:rsidRPr="001F28E4" w:rsidRDefault="00B15F2D" w:rsidP="00EC2509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Do skutków zwłoki lub opóźnienia w zapłacie odszkodowania stosuje się odpowiednio przepisy Kodeksu Cywilnego.</w:t>
      </w:r>
    </w:p>
    <w:p w:rsidR="00B15F2D" w:rsidRPr="001F28E4" w:rsidRDefault="00B15F2D" w:rsidP="00EC2509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1F28E4">
        <w:rPr>
          <w:rFonts w:ascii="Garamond" w:eastAsia="Bookman Old Style" w:hAnsi="Garamond"/>
          <w:sz w:val="22"/>
          <w:szCs w:val="22"/>
        </w:rPr>
        <w:t>Jeżeli osoba uprawniona odmawia przyjęcia odszkodowania albo wypłata odszkodowania</w:t>
      </w:r>
      <w:r w:rsidRPr="001F28E4">
        <w:rPr>
          <w:rFonts w:ascii="Garamond" w:hAnsi="Garamond"/>
          <w:sz w:val="22"/>
          <w:szCs w:val="22"/>
        </w:rPr>
        <w:t xml:space="preserve"> </w:t>
      </w:r>
      <w:r w:rsidRPr="001F28E4">
        <w:rPr>
          <w:rFonts w:ascii="Garamond" w:eastAsia="Bookman Old Style" w:hAnsi="Garamond"/>
          <w:sz w:val="22"/>
          <w:szCs w:val="22"/>
        </w:rPr>
        <w:t>natrafia na trudne do przezwyciężenia przeszkody odszkodowanie wpłaca się do depozytu sądowego.</w:t>
      </w:r>
    </w:p>
    <w:p w:rsidR="00B15F2D" w:rsidRPr="0064330E" w:rsidRDefault="0064330E" w:rsidP="00EC2509">
      <w:pPr>
        <w:numPr>
          <w:ilvl w:val="0"/>
          <w:numId w:val="5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jc w:val="both"/>
        <w:rPr>
          <w:rFonts w:ascii="Garamond" w:eastAsia="Bookman Old Style" w:hAnsi="Garamond"/>
          <w:sz w:val="22"/>
          <w:szCs w:val="22"/>
        </w:rPr>
      </w:pP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Od niniejszej decyzji przysługuje stronie prawo wniesienia odwołania do Wojewody Pomorskiego. Odwołanie wnosi się za pośrednictwem Starosty Lęborskiego w terminie 14 </w:t>
      </w:r>
      <w:r>
        <w:rPr>
          <w:rFonts w:ascii="Garamond" w:hAnsi="Garamond" w:cs="MS Shell Dlg 2"/>
          <w:color w:val="000000"/>
          <w:sz w:val="22"/>
          <w:szCs w:val="22"/>
        </w:rPr>
        <w:t xml:space="preserve">dni od daty doręczenia decyzji.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W trakcie biegu terminu do wniesienia odwołania strona może zrzec się prawa do wniesienia odwołania wobec organu administracji publicznej, który wydał decyzję, tj. Starosty Lęborskiego. </w:t>
      </w:r>
      <w:r>
        <w:rPr>
          <w:rFonts w:ascii="Garamond" w:hAnsi="Garamond" w:cs="MS Shell Dlg 2"/>
          <w:color w:val="000000"/>
          <w:sz w:val="22"/>
          <w:szCs w:val="22"/>
        </w:rPr>
        <w:br/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Z dniem doręczenia organowi administracji publicznej oświadczenia o zrzeczeniu się prawa do wniesienia odwołania przez ostatnią ze stron postępowania, decyzja staje się ostateczna </w:t>
      </w:r>
      <w:r>
        <w:rPr>
          <w:rFonts w:ascii="Garamond" w:hAnsi="Garamond" w:cs="MS Shell Dlg 2"/>
          <w:color w:val="000000"/>
          <w:sz w:val="22"/>
          <w:szCs w:val="22"/>
        </w:rPr>
        <w:br/>
        <w:t xml:space="preserve">i prawomocna.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Oświadczenie o zrzeczeniu się prawa do wniesienia odwołania może</w:t>
      </w:r>
      <w:r>
        <w:rPr>
          <w:rFonts w:ascii="Garamond" w:hAnsi="Garamond" w:cs="MS Shell Dlg 2"/>
          <w:color w:val="000000"/>
          <w:sz w:val="22"/>
          <w:szCs w:val="22"/>
        </w:rPr>
        <w:t xml:space="preserve"> być złożone dopiero po wydaniu decyzji. </w:t>
      </w:r>
      <w:r w:rsidRPr="0064330E">
        <w:rPr>
          <w:rFonts w:ascii="Garamond" w:hAnsi="Garamond" w:cs="MS Shell Dlg 2"/>
          <w:color w:val="000000"/>
          <w:sz w:val="22"/>
          <w:szCs w:val="22"/>
        </w:rPr>
        <w:t xml:space="preserve">Decyzja podlega wykonaniu przed upływem terminu do wniesienia odwołania, jeżeli jest zgodna z żądaniem wszystkich stron lub jeżeli wszystkie strony zrzekły się </w:t>
      </w:r>
      <w:r w:rsidR="002C731F">
        <w:rPr>
          <w:rFonts w:ascii="Garamond" w:hAnsi="Garamond" w:cs="MS Shell Dlg 2"/>
          <w:color w:val="000000"/>
          <w:sz w:val="22"/>
          <w:szCs w:val="22"/>
        </w:rPr>
        <w:t xml:space="preserve">prawa do wniesienia odwołania. </w:t>
      </w:r>
      <w:r w:rsidRPr="0064330E">
        <w:rPr>
          <w:rFonts w:ascii="Garamond" w:hAnsi="Garamond" w:cs="MS Shell Dlg 2"/>
          <w:color w:val="000000"/>
          <w:sz w:val="22"/>
          <w:szCs w:val="22"/>
        </w:rPr>
        <w:t>Zrzeczenie się prawa do wniesienia odwołania ma taki skutek, że decyzji nie można zaskarżyć do Wojewódzkiego Sądu Administracyjnego.</w:t>
      </w:r>
    </w:p>
    <w:p w:rsidR="002C731F" w:rsidRDefault="002C731F" w:rsidP="00A244E5">
      <w:pPr>
        <w:spacing w:line="276" w:lineRule="auto"/>
        <w:rPr>
          <w:rFonts w:ascii="Garamond" w:eastAsia="Bookman Old Style" w:hAnsi="Garamond"/>
          <w:sz w:val="22"/>
          <w:szCs w:val="22"/>
        </w:rPr>
      </w:pPr>
    </w:p>
    <w:p w:rsidR="009C647A" w:rsidRDefault="009C647A" w:rsidP="00A244E5">
      <w:pPr>
        <w:spacing w:line="276" w:lineRule="auto"/>
        <w:rPr>
          <w:rFonts w:ascii="Garamond" w:eastAsia="Bookman Old Style" w:hAnsi="Garamond"/>
          <w:sz w:val="22"/>
          <w:szCs w:val="22"/>
        </w:rPr>
      </w:pPr>
    </w:p>
    <w:p w:rsidR="00ED01BB" w:rsidRPr="00A33A60" w:rsidRDefault="00D14471" w:rsidP="009C647A">
      <w:pPr>
        <w:spacing w:line="360" w:lineRule="auto"/>
        <w:ind w:left="5103"/>
        <w:jc w:val="center"/>
        <w:rPr>
          <w:rFonts w:ascii="Garamond" w:eastAsia="Bookman Old Style" w:hAnsi="Garamond"/>
          <w:sz w:val="20"/>
          <w:szCs w:val="20"/>
        </w:rPr>
      </w:pPr>
      <w:bookmarkStart w:id="4" w:name="_GoBack"/>
      <w:r w:rsidRPr="00A33A60">
        <w:rPr>
          <w:rFonts w:ascii="Garamond" w:eastAsia="Bookman Old Style" w:hAnsi="Garamond"/>
          <w:sz w:val="20"/>
          <w:szCs w:val="20"/>
        </w:rPr>
        <w:t>Z up. STAROSTY</w:t>
      </w:r>
    </w:p>
    <w:p w:rsidR="00D14471" w:rsidRPr="00A33A60" w:rsidRDefault="00D14471" w:rsidP="009C647A">
      <w:pPr>
        <w:spacing w:line="360" w:lineRule="auto"/>
        <w:ind w:left="5103"/>
        <w:jc w:val="center"/>
        <w:rPr>
          <w:rFonts w:ascii="Garamond" w:eastAsia="Bookman Old Style" w:hAnsi="Garamond"/>
          <w:sz w:val="20"/>
          <w:szCs w:val="20"/>
        </w:rPr>
      </w:pPr>
      <w:r w:rsidRPr="00A33A60">
        <w:rPr>
          <w:rFonts w:ascii="Garamond" w:eastAsia="Bookman Old Style" w:hAnsi="Garamond"/>
          <w:sz w:val="20"/>
          <w:szCs w:val="20"/>
        </w:rPr>
        <w:t>Geodeta Powiatowy</w:t>
      </w:r>
    </w:p>
    <w:p w:rsidR="00AD497E" w:rsidRPr="00A33A60" w:rsidRDefault="00D14471" w:rsidP="009C647A">
      <w:pPr>
        <w:spacing w:line="360" w:lineRule="auto"/>
        <w:ind w:left="5103"/>
        <w:jc w:val="center"/>
        <w:rPr>
          <w:rFonts w:ascii="Garamond" w:eastAsia="Bookman Old Style" w:hAnsi="Garamond"/>
          <w:sz w:val="20"/>
          <w:szCs w:val="20"/>
        </w:rPr>
      </w:pPr>
      <w:r w:rsidRPr="00A33A60">
        <w:rPr>
          <w:rFonts w:ascii="Garamond" w:eastAsia="Bookman Old Style" w:hAnsi="Garamond"/>
          <w:sz w:val="20"/>
          <w:szCs w:val="20"/>
        </w:rPr>
        <w:t>Paweł Jędrzejewski</w:t>
      </w:r>
    </w:p>
    <w:p w:rsidR="00AD497E" w:rsidRPr="00A33A60" w:rsidRDefault="00AD497E" w:rsidP="00AD497E">
      <w:pPr>
        <w:spacing w:line="360" w:lineRule="auto"/>
        <w:ind w:left="5103"/>
        <w:jc w:val="center"/>
        <w:rPr>
          <w:rFonts w:ascii="Garamond" w:eastAsia="Bookman Old Style" w:hAnsi="Garamond"/>
          <w:sz w:val="22"/>
          <w:szCs w:val="22"/>
        </w:rPr>
      </w:pPr>
    </w:p>
    <w:bookmarkEnd w:id="4"/>
    <w:p w:rsidR="00B15F2D" w:rsidRDefault="00B15F2D" w:rsidP="002C731F">
      <w:pPr>
        <w:spacing w:line="360" w:lineRule="auto"/>
        <w:jc w:val="both"/>
        <w:rPr>
          <w:rFonts w:ascii="Garamond" w:hAnsi="Garamond"/>
          <w:sz w:val="22"/>
          <w:szCs w:val="22"/>
          <w:u w:val="single"/>
        </w:rPr>
      </w:pPr>
      <w:r w:rsidRPr="001F28E4">
        <w:rPr>
          <w:rFonts w:ascii="Garamond" w:hAnsi="Garamond"/>
          <w:sz w:val="22"/>
          <w:szCs w:val="22"/>
          <w:u w:val="single"/>
        </w:rPr>
        <w:t>Otrzymują:</w:t>
      </w:r>
    </w:p>
    <w:p w:rsidR="0064330E" w:rsidRDefault="00D14471" w:rsidP="002C731F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Burmistrz Miasta Lęborka</w:t>
      </w:r>
      <w:r w:rsidR="00906A3C" w:rsidRPr="001F28E4">
        <w:rPr>
          <w:rFonts w:ascii="Garamond" w:hAnsi="Garamond"/>
          <w:sz w:val="22"/>
          <w:szCs w:val="22"/>
        </w:rPr>
        <w:t>, ul. Armii Krajowej 14,</w:t>
      </w:r>
      <w:r w:rsidR="00906A3C">
        <w:rPr>
          <w:rFonts w:ascii="Garamond" w:hAnsi="Garamond"/>
          <w:sz w:val="22"/>
          <w:szCs w:val="22"/>
        </w:rPr>
        <w:t xml:space="preserve"> </w:t>
      </w:r>
      <w:r w:rsidR="00906A3C" w:rsidRPr="001F28E4">
        <w:rPr>
          <w:rFonts w:ascii="Garamond" w:hAnsi="Garamond"/>
          <w:sz w:val="22"/>
          <w:szCs w:val="22"/>
        </w:rPr>
        <w:t>84-300 Lębork</w:t>
      </w:r>
      <w:r w:rsidR="00161A96">
        <w:rPr>
          <w:rFonts w:ascii="Garamond" w:hAnsi="Garamond"/>
          <w:sz w:val="22"/>
          <w:szCs w:val="22"/>
        </w:rPr>
        <w:t xml:space="preserve"> </w:t>
      </w:r>
      <w:r w:rsidR="00EC2509">
        <w:rPr>
          <w:rFonts w:ascii="Garamond" w:hAnsi="Garamond"/>
          <w:sz w:val="22"/>
          <w:szCs w:val="22"/>
        </w:rPr>
        <w:t>(</w:t>
      </w:r>
      <w:r w:rsidR="00161A96">
        <w:rPr>
          <w:rFonts w:ascii="Garamond" w:hAnsi="Garamond"/>
          <w:sz w:val="22"/>
          <w:szCs w:val="22"/>
        </w:rPr>
        <w:t>e-PUAP</w:t>
      </w:r>
      <w:r w:rsidR="00EC2509">
        <w:rPr>
          <w:rFonts w:ascii="Garamond" w:hAnsi="Garamond"/>
          <w:sz w:val="22"/>
          <w:szCs w:val="22"/>
        </w:rPr>
        <w:t>),</w:t>
      </w:r>
    </w:p>
    <w:p w:rsidR="00A9425B" w:rsidRDefault="00A9425B" w:rsidP="002C731F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Spółdzielcza Kasa Oszczędnościowo-Kredytowa im. Franciszka Stefczyka, ul. Bohaterów Starówki Warszawskiej 6, 81-455 Gdynia,</w:t>
      </w:r>
    </w:p>
    <w:p w:rsidR="00C14E79" w:rsidRDefault="00C14E79" w:rsidP="00A9425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 podstawie art. 49 ustawy z dnia </w:t>
      </w:r>
      <w:r w:rsidRPr="00ED3511">
        <w:rPr>
          <w:rFonts w:ascii="Garamond" w:hAnsi="Garamond"/>
          <w:sz w:val="22"/>
          <w:szCs w:val="22"/>
        </w:rPr>
        <w:t>14 czerwca 1960 roku Kodeks postępowania admini</w:t>
      </w:r>
      <w:r>
        <w:rPr>
          <w:rFonts w:ascii="Garamond" w:hAnsi="Garamond"/>
          <w:sz w:val="22"/>
          <w:szCs w:val="22"/>
        </w:rPr>
        <w:t>stracyjnego</w:t>
      </w:r>
      <w:r w:rsidR="009C647A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(t. j. Dz. U. z 2021r., poz. 735</w:t>
      </w:r>
      <w:r w:rsidR="009C647A">
        <w:rPr>
          <w:rFonts w:ascii="Garamond" w:hAnsi="Garamond"/>
          <w:sz w:val="22"/>
          <w:szCs w:val="22"/>
        </w:rPr>
        <w:t xml:space="preserve"> ze zm.</w:t>
      </w:r>
      <w:r w:rsidRPr="00ED3511">
        <w:rPr>
          <w:rFonts w:ascii="Garamond" w:hAnsi="Garamond"/>
          <w:sz w:val="22"/>
          <w:szCs w:val="22"/>
        </w:rPr>
        <w:t>)</w:t>
      </w:r>
      <w:r w:rsidR="004E119E">
        <w:rPr>
          <w:rFonts w:ascii="Garamond" w:hAnsi="Garamond"/>
          <w:sz w:val="22"/>
          <w:szCs w:val="22"/>
        </w:rPr>
        <w:t xml:space="preserve">, w związku z treścią art. 118a ust. 2 ustawy </w:t>
      </w:r>
      <w:r w:rsidR="004E119E" w:rsidRPr="00ED3511">
        <w:rPr>
          <w:rFonts w:ascii="Garamond" w:hAnsi="Garamond"/>
          <w:sz w:val="22"/>
          <w:szCs w:val="22"/>
        </w:rPr>
        <w:t>z dnia 21 sierpnia 1997 roku</w:t>
      </w:r>
      <w:r w:rsidR="004E119E">
        <w:rPr>
          <w:rFonts w:ascii="Garamond" w:hAnsi="Garamond"/>
          <w:sz w:val="22"/>
          <w:szCs w:val="22"/>
        </w:rPr>
        <w:t xml:space="preserve"> o gospodarce nieruchomościami </w:t>
      </w:r>
      <w:r w:rsidR="004E119E" w:rsidRPr="00ED3511">
        <w:rPr>
          <w:rFonts w:ascii="Garamond" w:hAnsi="Garamond"/>
          <w:sz w:val="22"/>
          <w:szCs w:val="22"/>
        </w:rPr>
        <w:t>(t.</w:t>
      </w:r>
      <w:r w:rsidR="004E119E">
        <w:rPr>
          <w:rFonts w:ascii="Garamond" w:hAnsi="Garamond"/>
          <w:sz w:val="22"/>
          <w:szCs w:val="22"/>
        </w:rPr>
        <w:t xml:space="preserve"> </w:t>
      </w:r>
      <w:r w:rsidR="004E119E" w:rsidRPr="00ED3511">
        <w:rPr>
          <w:rFonts w:ascii="Garamond" w:hAnsi="Garamond"/>
          <w:sz w:val="22"/>
          <w:szCs w:val="22"/>
        </w:rPr>
        <w:t>j. Dz. U. z 20</w:t>
      </w:r>
      <w:r w:rsidR="004E119E">
        <w:rPr>
          <w:rFonts w:ascii="Garamond" w:hAnsi="Garamond"/>
          <w:sz w:val="22"/>
          <w:szCs w:val="22"/>
        </w:rPr>
        <w:t>21r., poz. 1899 ze zm.)</w:t>
      </w:r>
      <w:r>
        <w:rPr>
          <w:rFonts w:ascii="Garamond" w:hAnsi="Garamond"/>
          <w:sz w:val="22"/>
          <w:szCs w:val="22"/>
        </w:rPr>
        <w:t xml:space="preserve"> treść niniejszej decyzji została zamieszczona w Biuletynie Informacji Publicznej organu oraz na tablicach ogłoszeń Starostwa Powiatowego w Lęborku</w:t>
      </w:r>
      <w:r w:rsidR="009C647A">
        <w:rPr>
          <w:rFonts w:ascii="Garamond" w:hAnsi="Garamond"/>
          <w:sz w:val="22"/>
          <w:szCs w:val="22"/>
        </w:rPr>
        <w:t>. Decyzję uważa się za doręczoną ze skutkiem pranym po upływie 14 dni od dnia publicznego ogłoszenia.</w:t>
      </w:r>
    </w:p>
    <w:p w:rsidR="00A9425B" w:rsidRPr="00A9425B" w:rsidRDefault="00C14E79" w:rsidP="00A9425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a/a</w:t>
      </w:r>
      <w:r w:rsidR="00CF2500">
        <w:rPr>
          <w:rFonts w:ascii="Garamond" w:hAnsi="Garamond"/>
          <w:sz w:val="22"/>
          <w:szCs w:val="22"/>
        </w:rPr>
        <w:t>.</w:t>
      </w:r>
    </w:p>
    <w:sectPr w:rsidR="00A9425B" w:rsidRPr="00A9425B" w:rsidSect="00D42F1E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C3E" w:rsidRDefault="00503C3E" w:rsidP="00D1718E">
      <w:r>
        <w:separator/>
      </w:r>
    </w:p>
  </w:endnote>
  <w:endnote w:type="continuationSeparator" w:id="0">
    <w:p w:rsidR="00503C3E" w:rsidRDefault="00503C3E" w:rsidP="00D1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0"/>
        <w:szCs w:val="20"/>
      </w:rPr>
      <w:id w:val="503258590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207D" w:rsidRPr="00D1718E" w:rsidRDefault="0042207D">
            <w:pPr>
              <w:pStyle w:val="Stopka"/>
              <w:jc w:val="center"/>
              <w:rPr>
                <w:rFonts w:ascii="Garamond" w:hAnsi="Garamond"/>
                <w:sz w:val="20"/>
                <w:szCs w:val="20"/>
              </w:rPr>
            </w:pPr>
            <w:r w:rsidRPr="00D1718E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1718E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941B0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8</w: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D1718E">
              <w:rPr>
                <w:rFonts w:ascii="Garamond" w:hAnsi="Garamond"/>
                <w:sz w:val="20"/>
                <w:szCs w:val="20"/>
              </w:rPr>
              <w:t xml:space="preserve"> z </w: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1718E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F941B0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8</w:t>
            </w:r>
            <w:r w:rsidR="004A1F8E" w:rsidRPr="00D1718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2207D" w:rsidRDefault="00422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C3E" w:rsidRDefault="00503C3E" w:rsidP="00D1718E">
      <w:r>
        <w:separator/>
      </w:r>
    </w:p>
  </w:footnote>
  <w:footnote w:type="continuationSeparator" w:id="0">
    <w:p w:rsidR="00503C3E" w:rsidRDefault="00503C3E" w:rsidP="00D1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269"/>
    <w:multiLevelType w:val="hybridMultilevel"/>
    <w:tmpl w:val="9C56334E"/>
    <w:lvl w:ilvl="0" w:tplc="3944645C">
      <w:start w:val="7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4BFB"/>
    <w:multiLevelType w:val="hybridMultilevel"/>
    <w:tmpl w:val="65305C42"/>
    <w:lvl w:ilvl="0" w:tplc="1B32AD6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390D"/>
    <w:multiLevelType w:val="hybridMultilevel"/>
    <w:tmpl w:val="07DAA3B0"/>
    <w:lvl w:ilvl="0" w:tplc="F558F462">
      <w:start w:val="8"/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539E"/>
    <w:multiLevelType w:val="hybridMultilevel"/>
    <w:tmpl w:val="4DA63B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02CFE"/>
    <w:multiLevelType w:val="hybridMultilevel"/>
    <w:tmpl w:val="DA76A2EA"/>
    <w:lvl w:ilvl="0" w:tplc="971A66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74C0C46"/>
    <w:multiLevelType w:val="hybridMultilevel"/>
    <w:tmpl w:val="B1F21906"/>
    <w:lvl w:ilvl="0" w:tplc="1D8CC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178A4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844F47"/>
    <w:multiLevelType w:val="hybridMultilevel"/>
    <w:tmpl w:val="D616C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4168BE"/>
    <w:multiLevelType w:val="hybridMultilevel"/>
    <w:tmpl w:val="AE744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1E331E"/>
    <w:multiLevelType w:val="hybridMultilevel"/>
    <w:tmpl w:val="1CBCC246"/>
    <w:lvl w:ilvl="0" w:tplc="F1C6D53C">
      <w:start w:val="8"/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B6AFF"/>
    <w:multiLevelType w:val="hybridMultilevel"/>
    <w:tmpl w:val="7EAE47F6"/>
    <w:lvl w:ilvl="0" w:tplc="0996F8E2">
      <w:start w:val="8"/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37B6"/>
    <w:multiLevelType w:val="hybridMultilevel"/>
    <w:tmpl w:val="D4401E18"/>
    <w:lvl w:ilvl="0" w:tplc="E3EC590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9241B1"/>
    <w:multiLevelType w:val="hybridMultilevel"/>
    <w:tmpl w:val="C4187A74"/>
    <w:lvl w:ilvl="0" w:tplc="1B32A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D2EFB"/>
    <w:multiLevelType w:val="hybridMultilevel"/>
    <w:tmpl w:val="096E2716"/>
    <w:lvl w:ilvl="0" w:tplc="A5BA669C">
      <w:start w:val="8"/>
      <w:numFmt w:val="bullet"/>
      <w:lvlText w:val=""/>
      <w:lvlJc w:val="left"/>
      <w:pPr>
        <w:ind w:left="720" w:hanging="360"/>
      </w:pPr>
      <w:rPr>
        <w:rFonts w:ascii="Symbol" w:eastAsia="Bookman Old Styl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660A1"/>
    <w:multiLevelType w:val="hybridMultilevel"/>
    <w:tmpl w:val="DD0EF03C"/>
    <w:lvl w:ilvl="0" w:tplc="1B32AD6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1B32AD66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752"/>
    <w:multiLevelType w:val="hybridMultilevel"/>
    <w:tmpl w:val="9A54F6DC"/>
    <w:lvl w:ilvl="0" w:tplc="8BE0AF0C">
      <w:start w:val="1"/>
      <w:numFmt w:val="decimal"/>
      <w:lvlText w:val="%1."/>
      <w:lvlJc w:val="left"/>
      <w:pPr>
        <w:tabs>
          <w:tab w:val="num" w:pos="705"/>
        </w:tabs>
        <w:ind w:left="195" w:firstLine="5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83057"/>
    <w:multiLevelType w:val="hybridMultilevel"/>
    <w:tmpl w:val="720E2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17883"/>
    <w:multiLevelType w:val="hybridMultilevel"/>
    <w:tmpl w:val="4816D0DC"/>
    <w:lvl w:ilvl="0" w:tplc="8BE0AF0C">
      <w:start w:val="1"/>
      <w:numFmt w:val="decimal"/>
      <w:lvlText w:val="%1."/>
      <w:lvlJc w:val="left"/>
      <w:pPr>
        <w:tabs>
          <w:tab w:val="num" w:pos="705"/>
        </w:tabs>
        <w:ind w:left="195" w:firstLine="5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14"/>
  </w:num>
  <w:num w:numId="14">
    <w:abstractNumId w:val="17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4E"/>
    <w:rsid w:val="000039FE"/>
    <w:rsid w:val="00003EBC"/>
    <w:rsid w:val="00011DB7"/>
    <w:rsid w:val="000145B0"/>
    <w:rsid w:val="00027D6B"/>
    <w:rsid w:val="00040E86"/>
    <w:rsid w:val="0004272A"/>
    <w:rsid w:val="00043513"/>
    <w:rsid w:val="00043592"/>
    <w:rsid w:val="00045840"/>
    <w:rsid w:val="0004689A"/>
    <w:rsid w:val="000620E7"/>
    <w:rsid w:val="000743B9"/>
    <w:rsid w:val="0007608A"/>
    <w:rsid w:val="00084DA7"/>
    <w:rsid w:val="00086F16"/>
    <w:rsid w:val="00091787"/>
    <w:rsid w:val="000A1527"/>
    <w:rsid w:val="000A2981"/>
    <w:rsid w:val="000A7EDA"/>
    <w:rsid w:val="000B7393"/>
    <w:rsid w:val="000C1248"/>
    <w:rsid w:val="000C6EE7"/>
    <w:rsid w:val="000D1217"/>
    <w:rsid w:val="000E2BF2"/>
    <w:rsid w:val="000F4A56"/>
    <w:rsid w:val="000F5E00"/>
    <w:rsid w:val="001062F1"/>
    <w:rsid w:val="00113250"/>
    <w:rsid w:val="00122909"/>
    <w:rsid w:val="00123C5C"/>
    <w:rsid w:val="001257C8"/>
    <w:rsid w:val="00131CF3"/>
    <w:rsid w:val="00132E00"/>
    <w:rsid w:val="00135BAB"/>
    <w:rsid w:val="0013674A"/>
    <w:rsid w:val="00161A96"/>
    <w:rsid w:val="0017637F"/>
    <w:rsid w:val="00176C51"/>
    <w:rsid w:val="0017788E"/>
    <w:rsid w:val="00180B8B"/>
    <w:rsid w:val="00187DCE"/>
    <w:rsid w:val="00191B8C"/>
    <w:rsid w:val="001974D3"/>
    <w:rsid w:val="001A3E68"/>
    <w:rsid w:val="001B6766"/>
    <w:rsid w:val="001C07F4"/>
    <w:rsid w:val="001C3C04"/>
    <w:rsid w:val="001E3C27"/>
    <w:rsid w:val="001F1D1C"/>
    <w:rsid w:val="00213123"/>
    <w:rsid w:val="002150E9"/>
    <w:rsid w:val="00223FDB"/>
    <w:rsid w:val="00224D22"/>
    <w:rsid w:val="00226E9C"/>
    <w:rsid w:val="002360AA"/>
    <w:rsid w:val="00241617"/>
    <w:rsid w:val="0024752D"/>
    <w:rsid w:val="00247932"/>
    <w:rsid w:val="002516E1"/>
    <w:rsid w:val="00254C8E"/>
    <w:rsid w:val="00260AEE"/>
    <w:rsid w:val="002910C6"/>
    <w:rsid w:val="002963F5"/>
    <w:rsid w:val="002C1A9D"/>
    <w:rsid w:val="002C4B29"/>
    <w:rsid w:val="002C52B1"/>
    <w:rsid w:val="002C6C67"/>
    <w:rsid w:val="002C731F"/>
    <w:rsid w:val="002D1CF9"/>
    <w:rsid w:val="002E4578"/>
    <w:rsid w:val="002E78E7"/>
    <w:rsid w:val="002F78B3"/>
    <w:rsid w:val="00310CFC"/>
    <w:rsid w:val="00313829"/>
    <w:rsid w:val="00320E30"/>
    <w:rsid w:val="003266B5"/>
    <w:rsid w:val="003475C6"/>
    <w:rsid w:val="00353B0A"/>
    <w:rsid w:val="00354E24"/>
    <w:rsid w:val="0036096D"/>
    <w:rsid w:val="003670D4"/>
    <w:rsid w:val="003752DA"/>
    <w:rsid w:val="003760A1"/>
    <w:rsid w:val="00387532"/>
    <w:rsid w:val="00391148"/>
    <w:rsid w:val="0039121A"/>
    <w:rsid w:val="003933C0"/>
    <w:rsid w:val="00395484"/>
    <w:rsid w:val="003A21EE"/>
    <w:rsid w:val="003A4EB4"/>
    <w:rsid w:val="003A7C5A"/>
    <w:rsid w:val="003B0919"/>
    <w:rsid w:val="003B2E5E"/>
    <w:rsid w:val="003B419E"/>
    <w:rsid w:val="003B6399"/>
    <w:rsid w:val="003C2E2A"/>
    <w:rsid w:val="003C4834"/>
    <w:rsid w:val="003D1D42"/>
    <w:rsid w:val="003D59E1"/>
    <w:rsid w:val="003D75D7"/>
    <w:rsid w:val="003E343D"/>
    <w:rsid w:val="00416D76"/>
    <w:rsid w:val="0042148A"/>
    <w:rsid w:val="0042207D"/>
    <w:rsid w:val="004379FB"/>
    <w:rsid w:val="004544E8"/>
    <w:rsid w:val="00454811"/>
    <w:rsid w:val="00467584"/>
    <w:rsid w:val="004751E7"/>
    <w:rsid w:val="0048016E"/>
    <w:rsid w:val="00480742"/>
    <w:rsid w:val="00482B55"/>
    <w:rsid w:val="004855F0"/>
    <w:rsid w:val="004910F8"/>
    <w:rsid w:val="00497152"/>
    <w:rsid w:val="004A1F8E"/>
    <w:rsid w:val="004B1030"/>
    <w:rsid w:val="004B72AC"/>
    <w:rsid w:val="004C52BA"/>
    <w:rsid w:val="004D4020"/>
    <w:rsid w:val="004D7388"/>
    <w:rsid w:val="004E119E"/>
    <w:rsid w:val="004E6C9A"/>
    <w:rsid w:val="004E756C"/>
    <w:rsid w:val="004F29F4"/>
    <w:rsid w:val="00503711"/>
    <w:rsid w:val="00503C3E"/>
    <w:rsid w:val="00504BF4"/>
    <w:rsid w:val="005072E5"/>
    <w:rsid w:val="0053527A"/>
    <w:rsid w:val="005370D6"/>
    <w:rsid w:val="005451A9"/>
    <w:rsid w:val="005521F8"/>
    <w:rsid w:val="00552276"/>
    <w:rsid w:val="00561438"/>
    <w:rsid w:val="00561F10"/>
    <w:rsid w:val="00563736"/>
    <w:rsid w:val="00565588"/>
    <w:rsid w:val="00584A16"/>
    <w:rsid w:val="00597548"/>
    <w:rsid w:val="005A1DD7"/>
    <w:rsid w:val="005B471F"/>
    <w:rsid w:val="005B6DD9"/>
    <w:rsid w:val="005B703B"/>
    <w:rsid w:val="005D67BB"/>
    <w:rsid w:val="005D6FB7"/>
    <w:rsid w:val="005F56B6"/>
    <w:rsid w:val="005F7355"/>
    <w:rsid w:val="00600299"/>
    <w:rsid w:val="00600D2B"/>
    <w:rsid w:val="00605831"/>
    <w:rsid w:val="0060735B"/>
    <w:rsid w:val="006131FD"/>
    <w:rsid w:val="006210CD"/>
    <w:rsid w:val="00623736"/>
    <w:rsid w:val="00624B26"/>
    <w:rsid w:val="0063110E"/>
    <w:rsid w:val="0063249A"/>
    <w:rsid w:val="0064330E"/>
    <w:rsid w:val="00645196"/>
    <w:rsid w:val="006466ED"/>
    <w:rsid w:val="00650167"/>
    <w:rsid w:val="0065079A"/>
    <w:rsid w:val="006609A6"/>
    <w:rsid w:val="00661AB2"/>
    <w:rsid w:val="006655A9"/>
    <w:rsid w:val="00671C6B"/>
    <w:rsid w:val="00672C73"/>
    <w:rsid w:val="006855FD"/>
    <w:rsid w:val="006A341B"/>
    <w:rsid w:val="006A6C93"/>
    <w:rsid w:val="006B37B5"/>
    <w:rsid w:val="006C6559"/>
    <w:rsid w:val="006D4D4F"/>
    <w:rsid w:val="006E65AA"/>
    <w:rsid w:val="006F25B9"/>
    <w:rsid w:val="006F6F4E"/>
    <w:rsid w:val="00702302"/>
    <w:rsid w:val="00721132"/>
    <w:rsid w:val="00721991"/>
    <w:rsid w:val="007367BB"/>
    <w:rsid w:val="007417D4"/>
    <w:rsid w:val="00757660"/>
    <w:rsid w:val="00764812"/>
    <w:rsid w:val="00764883"/>
    <w:rsid w:val="00764FA7"/>
    <w:rsid w:val="007659D8"/>
    <w:rsid w:val="0076611B"/>
    <w:rsid w:val="00771903"/>
    <w:rsid w:val="0077402C"/>
    <w:rsid w:val="00791028"/>
    <w:rsid w:val="00797BEC"/>
    <w:rsid w:val="007A5C91"/>
    <w:rsid w:val="007B4C31"/>
    <w:rsid w:val="007B60A6"/>
    <w:rsid w:val="007C78A5"/>
    <w:rsid w:val="007D6456"/>
    <w:rsid w:val="007D64FB"/>
    <w:rsid w:val="007E5614"/>
    <w:rsid w:val="007F1DAA"/>
    <w:rsid w:val="007F2E5D"/>
    <w:rsid w:val="007F49BF"/>
    <w:rsid w:val="00811B61"/>
    <w:rsid w:val="00813598"/>
    <w:rsid w:val="0082669E"/>
    <w:rsid w:val="00844E52"/>
    <w:rsid w:val="00846346"/>
    <w:rsid w:val="00851AC8"/>
    <w:rsid w:val="00851D51"/>
    <w:rsid w:val="00857B97"/>
    <w:rsid w:val="00864E1D"/>
    <w:rsid w:val="00866081"/>
    <w:rsid w:val="00867BD2"/>
    <w:rsid w:val="00874119"/>
    <w:rsid w:val="00876494"/>
    <w:rsid w:val="008764F6"/>
    <w:rsid w:val="008A73F1"/>
    <w:rsid w:val="008B0B89"/>
    <w:rsid w:val="008B63B5"/>
    <w:rsid w:val="008C1817"/>
    <w:rsid w:val="008C7289"/>
    <w:rsid w:val="008E63C2"/>
    <w:rsid w:val="008F4305"/>
    <w:rsid w:val="00903CA0"/>
    <w:rsid w:val="00906A3C"/>
    <w:rsid w:val="00921564"/>
    <w:rsid w:val="009329C4"/>
    <w:rsid w:val="009331EF"/>
    <w:rsid w:val="009519BB"/>
    <w:rsid w:val="00956A27"/>
    <w:rsid w:val="009574E3"/>
    <w:rsid w:val="00965382"/>
    <w:rsid w:val="00975C0E"/>
    <w:rsid w:val="00987D1B"/>
    <w:rsid w:val="009A0DD8"/>
    <w:rsid w:val="009A47AB"/>
    <w:rsid w:val="009B50B3"/>
    <w:rsid w:val="009C647A"/>
    <w:rsid w:val="009D0384"/>
    <w:rsid w:val="009E0CE8"/>
    <w:rsid w:val="009E392D"/>
    <w:rsid w:val="009E50C5"/>
    <w:rsid w:val="009F23A1"/>
    <w:rsid w:val="009F5638"/>
    <w:rsid w:val="009F63B7"/>
    <w:rsid w:val="00A01F8A"/>
    <w:rsid w:val="00A038B8"/>
    <w:rsid w:val="00A10618"/>
    <w:rsid w:val="00A1198D"/>
    <w:rsid w:val="00A244E5"/>
    <w:rsid w:val="00A305CC"/>
    <w:rsid w:val="00A33A60"/>
    <w:rsid w:val="00A34F82"/>
    <w:rsid w:val="00A351EA"/>
    <w:rsid w:val="00A4052F"/>
    <w:rsid w:val="00A576AF"/>
    <w:rsid w:val="00A61434"/>
    <w:rsid w:val="00A71293"/>
    <w:rsid w:val="00A75702"/>
    <w:rsid w:val="00A92262"/>
    <w:rsid w:val="00A9425B"/>
    <w:rsid w:val="00AB21DB"/>
    <w:rsid w:val="00AB57FD"/>
    <w:rsid w:val="00AD3DA8"/>
    <w:rsid w:val="00AD497E"/>
    <w:rsid w:val="00AE0075"/>
    <w:rsid w:val="00AE2671"/>
    <w:rsid w:val="00AF1FF5"/>
    <w:rsid w:val="00AF4018"/>
    <w:rsid w:val="00AF5A34"/>
    <w:rsid w:val="00AF7383"/>
    <w:rsid w:val="00B010B0"/>
    <w:rsid w:val="00B03386"/>
    <w:rsid w:val="00B058FA"/>
    <w:rsid w:val="00B0758A"/>
    <w:rsid w:val="00B10408"/>
    <w:rsid w:val="00B119A0"/>
    <w:rsid w:val="00B15F2D"/>
    <w:rsid w:val="00B16D30"/>
    <w:rsid w:val="00B32A3A"/>
    <w:rsid w:val="00B33001"/>
    <w:rsid w:val="00B352D6"/>
    <w:rsid w:val="00B374E1"/>
    <w:rsid w:val="00B4771C"/>
    <w:rsid w:val="00B47DBF"/>
    <w:rsid w:val="00B67C85"/>
    <w:rsid w:val="00B748D2"/>
    <w:rsid w:val="00B77B4D"/>
    <w:rsid w:val="00B82030"/>
    <w:rsid w:val="00BA42CA"/>
    <w:rsid w:val="00BA7132"/>
    <w:rsid w:val="00BB528A"/>
    <w:rsid w:val="00BB7763"/>
    <w:rsid w:val="00BD08CA"/>
    <w:rsid w:val="00BE45FF"/>
    <w:rsid w:val="00BE5B93"/>
    <w:rsid w:val="00BF1B64"/>
    <w:rsid w:val="00C14E79"/>
    <w:rsid w:val="00C21CDB"/>
    <w:rsid w:val="00C26BD4"/>
    <w:rsid w:val="00C26BD7"/>
    <w:rsid w:val="00C356FC"/>
    <w:rsid w:val="00C36EDB"/>
    <w:rsid w:val="00C411E8"/>
    <w:rsid w:val="00C41285"/>
    <w:rsid w:val="00C43E5B"/>
    <w:rsid w:val="00C47B7B"/>
    <w:rsid w:val="00C529D6"/>
    <w:rsid w:val="00C65268"/>
    <w:rsid w:val="00C6639C"/>
    <w:rsid w:val="00C6664E"/>
    <w:rsid w:val="00C7514F"/>
    <w:rsid w:val="00C7639C"/>
    <w:rsid w:val="00C86B87"/>
    <w:rsid w:val="00C87E8B"/>
    <w:rsid w:val="00C937F9"/>
    <w:rsid w:val="00C963D2"/>
    <w:rsid w:val="00CA0A79"/>
    <w:rsid w:val="00CA64D5"/>
    <w:rsid w:val="00CC4DD4"/>
    <w:rsid w:val="00CC7256"/>
    <w:rsid w:val="00CD268A"/>
    <w:rsid w:val="00CF2500"/>
    <w:rsid w:val="00CF2808"/>
    <w:rsid w:val="00CF4703"/>
    <w:rsid w:val="00CF53EC"/>
    <w:rsid w:val="00D135A2"/>
    <w:rsid w:val="00D14471"/>
    <w:rsid w:val="00D1718E"/>
    <w:rsid w:val="00D33ED4"/>
    <w:rsid w:val="00D34866"/>
    <w:rsid w:val="00D42F1E"/>
    <w:rsid w:val="00D53DA1"/>
    <w:rsid w:val="00D55321"/>
    <w:rsid w:val="00D64B86"/>
    <w:rsid w:val="00D763E9"/>
    <w:rsid w:val="00D9287D"/>
    <w:rsid w:val="00D95DD1"/>
    <w:rsid w:val="00D960DB"/>
    <w:rsid w:val="00DB3A5C"/>
    <w:rsid w:val="00DB47D2"/>
    <w:rsid w:val="00DB7115"/>
    <w:rsid w:val="00DC16C2"/>
    <w:rsid w:val="00DF2B26"/>
    <w:rsid w:val="00DF4B6B"/>
    <w:rsid w:val="00DF7F35"/>
    <w:rsid w:val="00E07C08"/>
    <w:rsid w:val="00E07C2A"/>
    <w:rsid w:val="00E12A0B"/>
    <w:rsid w:val="00E176C3"/>
    <w:rsid w:val="00E301B8"/>
    <w:rsid w:val="00E30980"/>
    <w:rsid w:val="00E37736"/>
    <w:rsid w:val="00E41A70"/>
    <w:rsid w:val="00E45481"/>
    <w:rsid w:val="00E53853"/>
    <w:rsid w:val="00E61337"/>
    <w:rsid w:val="00E81215"/>
    <w:rsid w:val="00E9382F"/>
    <w:rsid w:val="00EA578E"/>
    <w:rsid w:val="00EB2B96"/>
    <w:rsid w:val="00EC05B3"/>
    <w:rsid w:val="00EC2509"/>
    <w:rsid w:val="00EC5EE2"/>
    <w:rsid w:val="00EC6B71"/>
    <w:rsid w:val="00ED01BB"/>
    <w:rsid w:val="00ED570F"/>
    <w:rsid w:val="00EE7424"/>
    <w:rsid w:val="00EF0501"/>
    <w:rsid w:val="00EF44A7"/>
    <w:rsid w:val="00F03FC4"/>
    <w:rsid w:val="00F06B12"/>
    <w:rsid w:val="00F13E81"/>
    <w:rsid w:val="00F146C7"/>
    <w:rsid w:val="00F14D60"/>
    <w:rsid w:val="00F17BDA"/>
    <w:rsid w:val="00F2321B"/>
    <w:rsid w:val="00F2586E"/>
    <w:rsid w:val="00F31995"/>
    <w:rsid w:val="00F43255"/>
    <w:rsid w:val="00F52ADF"/>
    <w:rsid w:val="00F5567A"/>
    <w:rsid w:val="00F602DE"/>
    <w:rsid w:val="00F64C0E"/>
    <w:rsid w:val="00F65D32"/>
    <w:rsid w:val="00F77863"/>
    <w:rsid w:val="00F85DA3"/>
    <w:rsid w:val="00F90ED0"/>
    <w:rsid w:val="00F94076"/>
    <w:rsid w:val="00F941B0"/>
    <w:rsid w:val="00F96975"/>
    <w:rsid w:val="00FA2514"/>
    <w:rsid w:val="00FB006B"/>
    <w:rsid w:val="00FB0832"/>
    <w:rsid w:val="00FB13A6"/>
    <w:rsid w:val="00FC4D90"/>
    <w:rsid w:val="00FC70A6"/>
    <w:rsid w:val="00FD51F5"/>
    <w:rsid w:val="00FD7371"/>
    <w:rsid w:val="00FE7188"/>
    <w:rsid w:val="00FF5271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6207"/>
  <w15:docId w15:val="{6B1F2E09-E48E-4FC4-95D5-AF5EC84E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300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417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15F2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14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7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1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7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1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galis.pl/document-view.seam?documentId=mfrxilrtgi2tqnzugi3daltqmfyc4mzsheydsmjy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6376-69BB-424C-9389-B667AC62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3822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5</cp:revision>
  <cp:lastPrinted>2022-04-15T07:11:00Z</cp:lastPrinted>
  <dcterms:created xsi:type="dcterms:W3CDTF">2022-04-15T05:22:00Z</dcterms:created>
  <dcterms:modified xsi:type="dcterms:W3CDTF">2022-04-15T07:13:00Z</dcterms:modified>
</cp:coreProperties>
</file>