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61CF" w14:textId="77777777" w:rsidR="00A77B3E" w:rsidRDefault="00C61E2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33/2024</w:t>
      </w:r>
      <w:r>
        <w:rPr>
          <w:b/>
          <w:caps/>
        </w:rPr>
        <w:br/>
        <w:t>Starosty Lęborskiego</w:t>
      </w:r>
    </w:p>
    <w:p w14:paraId="5725009D" w14:textId="77777777" w:rsidR="00A77B3E" w:rsidRDefault="00C61E28">
      <w:pPr>
        <w:spacing w:before="280" w:after="280" w:line="276" w:lineRule="auto"/>
        <w:jc w:val="center"/>
        <w:rPr>
          <w:b/>
          <w:caps/>
        </w:rPr>
      </w:pPr>
      <w:r>
        <w:t>z dnia 17 września 2024 r.</w:t>
      </w:r>
    </w:p>
    <w:p w14:paraId="41956CA3" w14:textId="77777777" w:rsidR="00A77B3E" w:rsidRDefault="00C61E28">
      <w:pPr>
        <w:keepNext/>
        <w:spacing w:after="480" w:line="276" w:lineRule="auto"/>
        <w:jc w:val="center"/>
      </w:pPr>
      <w:r>
        <w:rPr>
          <w:b/>
        </w:rPr>
        <w:t>w sprawie ustalenia procedury dokonywania wewnętrznych zgłoszeń naruszeń prawa i podejmowania działań następczych w Starostwie Powiatowym w Lęborku</w:t>
      </w:r>
    </w:p>
    <w:p w14:paraId="1C758EBF" w14:textId="77777777" w:rsidR="00A77B3E" w:rsidRDefault="00C61E28">
      <w:pPr>
        <w:keepLines/>
        <w:spacing w:before="120" w:after="120" w:line="276" w:lineRule="auto"/>
        <w:ind w:firstLine="227"/>
      </w:pPr>
      <w:r>
        <w:t>Na podstawie art. 34 ust. 1 </w:t>
      </w:r>
      <w:r>
        <w:t>ustawy z dnia 5 czerwca 1998 roku o samorządzie powiatowym (t.j. Dz. U. z 2024 r. poz.107) w zw. z art. 24 ust. 1 i 3, art. 25 ust. 1 i 2 ustawy z dnia 14 czerwca 2024 r. o ochronie sygnalistów (Dz.U. z 2024 r., poz. 928), po przeprowadzeniu konsultacji z </w:t>
      </w:r>
      <w:r>
        <w:t>przedstawicielami osób świadczących pracę na rzecz Starostwa Powiatowego w Lęborku</w:t>
      </w:r>
    </w:p>
    <w:p w14:paraId="64F1ED95" w14:textId="77777777" w:rsidR="00A77B3E" w:rsidRDefault="00C61E28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30344FD0" w14:textId="77777777" w:rsidR="00A77B3E" w:rsidRDefault="00C61E2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Ustalam procedurę dokonywania wewnętrznych zgłoszeń  naruszeń prawa i podejmowania działań następczych w Starostwie Powiatowym w Lęborku, w brz</w:t>
      </w:r>
      <w:r>
        <w:t>mieniu określonym w załączniku do niniejszego zarządzenia.</w:t>
      </w:r>
    </w:p>
    <w:p w14:paraId="61E69A81" w14:textId="4CE663FF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Procedura, o której mowa w § 1, podlega publikacji w Biuletynie Informacji Publicznej Starostwa</w:t>
      </w:r>
      <w:r w:rsidR="00517291">
        <w:t xml:space="preserve"> </w:t>
      </w:r>
      <w:r>
        <w:t>Powiatowego w Lęborku w oddzielnej, łatwo identyfikowalnej i dostępnej sekcji.</w:t>
      </w:r>
    </w:p>
    <w:p w14:paraId="66C22CB0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Procedura po</w:t>
      </w:r>
      <w:r>
        <w:rPr>
          <w:color w:val="000000"/>
          <w:u w:color="000000"/>
        </w:rPr>
        <w:t xml:space="preserve">dlega udostępnieniu osobie ubiegającej się o pracę w Starostwie Powiatowym w Lęborku na podstawie stosunku pracy lub innego stosunku prawnego stanowiącego podstawę wykonania pracy, usług lub pełnienia funkcji, wraz z rozpoczęciem rekrutacji lub negocjacji </w:t>
      </w:r>
      <w:r>
        <w:rPr>
          <w:color w:val="000000"/>
          <w:u w:color="000000"/>
        </w:rPr>
        <w:t>poprzedzających zawarcie umowy.</w:t>
      </w:r>
    </w:p>
    <w:p w14:paraId="4239565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powierzam Sekretarzowi Powiatu Lęborskiego.</w:t>
      </w:r>
    </w:p>
    <w:p w14:paraId="2CB34CB6" w14:textId="77777777" w:rsidR="00A77B3E" w:rsidRDefault="00C61E28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25 września 2024 roku, po uprzednim podaniu go do wiadomości osobom wykonującym pracę w Starostwie Powiatowym w </w:t>
      </w:r>
      <w:r>
        <w:rPr>
          <w:color w:val="000000"/>
          <w:u w:color="000000"/>
        </w:rPr>
        <w:t xml:space="preserve">Lęborku na podstawie stosunku pracy lub innego stosunku prawnego stanowiącego podstawę świadczenia pracy, usług lub pełnienia funkcji, poprzez rozesłanie drogą </w:t>
      </w:r>
      <w:proofErr w:type="spellStart"/>
      <w:r>
        <w:rPr>
          <w:color w:val="000000"/>
          <w:u w:color="000000"/>
        </w:rPr>
        <w:t>meilową</w:t>
      </w:r>
      <w:proofErr w:type="spellEnd"/>
      <w:r>
        <w:rPr>
          <w:color w:val="000000"/>
          <w:u w:color="000000"/>
        </w:rPr>
        <w:t xml:space="preserve"> na adresy samodzielnych komórek organizacyjnych oraz poprzez wywieszenie na tablicy ogło</w:t>
      </w:r>
      <w:r>
        <w:rPr>
          <w:color w:val="000000"/>
          <w:u w:color="000000"/>
        </w:rPr>
        <w:t>szeń Starostwa Powiatowego w Lęborku, na co najmniej 7 dni przed jego wejściem w życie.</w:t>
      </w:r>
    </w:p>
    <w:p w14:paraId="75929F8E" w14:textId="77777777" w:rsidR="00A77B3E" w:rsidRDefault="00C61E28">
      <w:pPr>
        <w:keepNext/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150008B1" w14:textId="77777777" w:rsidR="00A77B3E" w:rsidRDefault="00C61E2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4629F" w14:paraId="3606E5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A3CC0" w14:textId="77777777" w:rsidR="0054629F" w:rsidRDefault="0054629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97268" w14:textId="77777777" w:rsidR="0054629F" w:rsidRDefault="00C61E2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 Lęborski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Litwin</w:t>
            </w:r>
          </w:p>
        </w:tc>
      </w:tr>
    </w:tbl>
    <w:p w14:paraId="41A9257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10FD001" w14:textId="77777777" w:rsidR="00A77B3E" w:rsidRDefault="00C61E28">
      <w:pPr>
        <w:keepNext/>
        <w:spacing w:before="120" w:after="120" w:line="276" w:lineRule="auto"/>
        <w:ind w:left="5803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do </w:t>
      </w:r>
      <w:r>
        <w:rPr>
          <w:color w:val="000000"/>
          <w:sz w:val="22"/>
          <w:u w:color="000000"/>
        </w:rPr>
        <w:t>zarządzenia Nr 33/2024</w:t>
      </w:r>
      <w:r>
        <w:rPr>
          <w:color w:val="000000"/>
          <w:sz w:val="22"/>
          <w:u w:color="000000"/>
        </w:rPr>
        <w:br/>
        <w:t>Starosty Lęborskiego</w:t>
      </w:r>
      <w:r>
        <w:rPr>
          <w:color w:val="000000"/>
          <w:sz w:val="22"/>
          <w:u w:color="000000"/>
        </w:rPr>
        <w:br/>
        <w:t>z dnia 17 września 2024 r.</w:t>
      </w:r>
    </w:p>
    <w:p w14:paraId="26AB748E" w14:textId="77777777" w:rsidR="00A77B3E" w:rsidRDefault="00C61E28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Procedura dokonywania wewnętrznych zgłoszeń  naruszeń prawa i podejmowania działań następczych w Starostwie Powiatowym w Lęborku</w:t>
      </w:r>
    </w:p>
    <w:p w14:paraId="1AA33C49" w14:textId="77777777" w:rsidR="00A77B3E" w:rsidRDefault="00C61E28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sz w:val="22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034C880D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Celem </w:t>
      </w:r>
      <w:r>
        <w:rPr>
          <w:color w:val="000000"/>
          <w:u w:color="000000"/>
        </w:rPr>
        <w:t>Procedury dokonywania wewnętrznych zgłoszeń naruszeń prawa i podejmowania działań następczych w Starostwie Powiatowym w Lęborku, zwanej dalej Procedurą jest:</w:t>
      </w:r>
    </w:p>
    <w:p w14:paraId="2A0C11C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umożliwienie poufnego dokonywania wewnętrznych zgłoszeń naruszeń prawa,</w:t>
      </w:r>
    </w:p>
    <w:p w14:paraId="2C1385F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zagwarantowanie rzet</w:t>
      </w:r>
      <w:r>
        <w:rPr>
          <w:color w:val="000000"/>
          <w:u w:color="000000"/>
        </w:rPr>
        <w:t>elnej, obiektywnej weryfikacji wewnętrznych zgłoszeń naruszeń prawa,</w:t>
      </w:r>
    </w:p>
    <w:p w14:paraId="04084BAD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zapewnienie ochrony sygnalistom, osobom, których dotyczy wewnętrzne zgłoszenie naruszeń prawa, innym osobom wskazanym w zgłoszeniu oraz osobom pomagającym w dokonaniu wewnętrznego zgło</w:t>
      </w:r>
      <w:r>
        <w:rPr>
          <w:color w:val="000000"/>
          <w:u w:color="000000"/>
        </w:rPr>
        <w:t>szenia naruszeń prawa i osobom powiązanym z sygnalistami.</w:t>
      </w:r>
    </w:p>
    <w:p w14:paraId="4D4BDCA0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niniejszej instrukcji jest mowa o:</w:t>
      </w:r>
    </w:p>
    <w:p w14:paraId="725BC97A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Działaniu następczym</w:t>
      </w:r>
      <w:r>
        <w:rPr>
          <w:color w:val="000000"/>
          <w:u w:color="000000"/>
        </w:rPr>
        <w:t xml:space="preserve"> – należy przez to rozumieć działanie podjęte przez Pracodawcę w celu oceny prawdziwości informacji zawartych w zgłoszeniu or</w:t>
      </w:r>
      <w:r>
        <w:rPr>
          <w:color w:val="000000"/>
          <w:u w:color="000000"/>
        </w:rPr>
        <w:t>az w celu przeciwdziałania naruszeniu prawa będącego przedmiotem zgłoszenia, w szczególności przez postępowanie wyjaśniające, wszczęcie kontroli lub postępowania administracyjnego, wniesienie oskarżenia, działanie podjęte w celu odzyskania środków finansow</w:t>
      </w:r>
      <w:r>
        <w:rPr>
          <w:color w:val="000000"/>
          <w:u w:color="000000"/>
        </w:rPr>
        <w:t>ych lub zamknięcie procedury realizowanej w ramach wewnętrznej procedury dokonywania zgłoszeń naruszeń prawa i podejmowania działań następczych.</w:t>
      </w:r>
    </w:p>
    <w:p w14:paraId="464D47FA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Działaniu odwetowym</w:t>
      </w:r>
      <w:r>
        <w:rPr>
          <w:color w:val="000000"/>
          <w:u w:color="000000"/>
        </w:rPr>
        <w:t xml:space="preserve"> – należy przez to rozumieć bezpośrednie lub pośrednie działanie lub zaniechanie w kontek</w:t>
      </w:r>
      <w:r>
        <w:rPr>
          <w:color w:val="000000"/>
          <w:u w:color="000000"/>
        </w:rPr>
        <w:t>ście związanym z pracą, które jest spowodowane zgłoszeniem i które narusza lub może naruszyć prawa sygnalisty, osoby pomagającej w dokonaniu zgłoszenia, osoby powiązanej z sygnalistą lub wyrządza lub może wyrządzić im nieuzasadnioną szkodę, w tym bezpodsta</w:t>
      </w:r>
      <w:r>
        <w:rPr>
          <w:color w:val="000000"/>
          <w:u w:color="000000"/>
        </w:rPr>
        <w:t>wne inicjowanie postępowań przeciwko nim.</w:t>
      </w:r>
    </w:p>
    <w:p w14:paraId="1DCF2900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Informacji o naruszeniu prawa</w:t>
      </w:r>
      <w:r>
        <w:rPr>
          <w:color w:val="000000"/>
          <w:u w:color="000000"/>
        </w:rPr>
        <w:t xml:space="preserve"> – należy przez to rozumieć informację, w tym uzasadnione podejrzenie dotyczące zaistniałego lub potencjalnego naruszenia prawa, do którego doszło lub prawdopodobnie dojdzie u </w:t>
      </w:r>
      <w:r>
        <w:rPr>
          <w:color w:val="000000"/>
          <w:u w:color="000000"/>
        </w:rPr>
        <w:t xml:space="preserve">Pracodawcy, w sytuacji gdy sygnalista uczestniczył w procesie rekrutacji lub innych negocjacji poprzedzających zawarcie umowy, pracuje lub pracował, lub w innym podmiocie prawnym, z którym sygnalista utrzymuje lub utrzymywał kontakt w kontekście związanym </w:t>
      </w:r>
      <w:r>
        <w:rPr>
          <w:color w:val="000000"/>
          <w:u w:color="000000"/>
        </w:rPr>
        <w:t>z pracą, lub informację dotyczącą próby ukrycia takiego naruszenia prawa.</w:t>
      </w:r>
    </w:p>
    <w:p w14:paraId="2F649D0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Informacji zwrotnej</w:t>
      </w:r>
      <w:r>
        <w:rPr>
          <w:color w:val="000000"/>
          <w:u w:color="000000"/>
        </w:rPr>
        <w:t xml:space="preserve"> – należy przez to rozumieć przekazaną sygnaliście informację na temat planowanych lub podjętych działań następczych i powodów takich działań.</w:t>
      </w:r>
    </w:p>
    <w:p w14:paraId="41E9AA1A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b/>
          <w:color w:val="000000"/>
          <w:u w:color="000000"/>
        </w:rPr>
        <w:t>Kontekście zwi</w:t>
      </w:r>
      <w:r>
        <w:rPr>
          <w:b/>
          <w:color w:val="000000"/>
          <w:u w:color="000000"/>
        </w:rPr>
        <w:t>ązanym z pracą</w:t>
      </w:r>
      <w:r>
        <w:rPr>
          <w:color w:val="000000"/>
          <w:u w:color="000000"/>
        </w:rPr>
        <w:t xml:space="preserve"> - należy przez to rozumieć przeszłe, obecne lub przyszłe działania związane z wykonywaniem pracy na podstawie stosunku pracy lub innego stosunku prawnego stanowiącego podstawę świadczenia pracy lub usług lub pełnienia funkcji u </w:t>
      </w:r>
      <w:r>
        <w:rPr>
          <w:color w:val="000000"/>
          <w:u w:color="000000"/>
        </w:rPr>
        <w:t>Pracodawcy lub na jego rzecz, w ramach których uzyskano informację o naruszeniu prawa oraz istnieje możliwość doświadczenia działań odwetowych;</w:t>
      </w:r>
    </w:p>
    <w:p w14:paraId="3C2F91FE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Naruszenie prawa </w:t>
      </w:r>
      <w:r>
        <w:rPr>
          <w:color w:val="000000"/>
          <w:u w:color="000000"/>
        </w:rPr>
        <w:t>– działanie lub zaniechanie, które jest niezgodne z prawem lub mające na celu obejście prawa</w:t>
      </w:r>
      <w:r>
        <w:rPr>
          <w:color w:val="000000"/>
          <w:u w:color="000000"/>
        </w:rPr>
        <w:t xml:space="preserve"> dotyczące:</w:t>
      </w:r>
    </w:p>
    <w:p w14:paraId="0800A25B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korupcji;</w:t>
      </w:r>
    </w:p>
    <w:p w14:paraId="1B6131D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zamówień publicznych;</w:t>
      </w:r>
    </w:p>
    <w:p w14:paraId="7AC0A73D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usług, produktów i rynków finansowych;</w:t>
      </w:r>
    </w:p>
    <w:p w14:paraId="4BDCD59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przeciwdziałania praniu pieniędzy oraz finansowaniu terroryzmu;</w:t>
      </w:r>
    </w:p>
    <w:p w14:paraId="71FA89DF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bezpieczeństwa produktów i ich zgodności z wymogami;</w:t>
      </w:r>
    </w:p>
    <w:p w14:paraId="33881A9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bezpieczeństwa transportu;</w:t>
      </w:r>
    </w:p>
    <w:p w14:paraId="076FC52E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ochrony </w:t>
      </w:r>
      <w:r>
        <w:rPr>
          <w:color w:val="000000"/>
          <w:u w:color="000000"/>
        </w:rPr>
        <w:t>środowiska;</w:t>
      </w:r>
    </w:p>
    <w:p w14:paraId="65EC386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ochrony radiologicznej i bezpieczeństwa jądrowego;</w:t>
      </w:r>
    </w:p>
    <w:p w14:paraId="323C6DDB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bezpieczeństwa żywności i pasz;</w:t>
      </w:r>
    </w:p>
    <w:p w14:paraId="534F4B5D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zdrowia i dobrostanu zwierząt;</w:t>
      </w:r>
    </w:p>
    <w:p w14:paraId="240B22B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zdrowia publicznego;</w:t>
      </w:r>
    </w:p>
    <w:p w14:paraId="5A3F06CA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ochrony konsumentów;</w:t>
      </w:r>
    </w:p>
    <w:p w14:paraId="3EF46473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ochrony prywatności i danych osobowych;</w:t>
      </w:r>
    </w:p>
    <w:p w14:paraId="40BE6D4A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bezpieczeństwa sieci i</w:t>
      </w:r>
      <w:r>
        <w:rPr>
          <w:color w:val="000000"/>
          <w:u w:color="000000"/>
        </w:rPr>
        <w:t> systemów teleinformatycznych;</w:t>
      </w:r>
    </w:p>
    <w:p w14:paraId="64737DBB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interesów finansowych Skarbu Państwa Rzeczypospolitej Polskiej, jednostki samorządu terytorialnego oraz Unii Europejskiej;</w:t>
      </w:r>
    </w:p>
    <w:p w14:paraId="3DAB6492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rynku wewnętrznego Unii Europejskiej, w tym publicznoprawnych zasad konkurencji i pomocy państ</w:t>
      </w:r>
      <w:r>
        <w:rPr>
          <w:color w:val="000000"/>
          <w:u w:color="000000"/>
        </w:rPr>
        <w:t>wa oraz opodatkowania osób prawnych;</w:t>
      </w:r>
    </w:p>
    <w:p w14:paraId="733E159E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konstytucyjnych wolności i praw człowieka i obywatela - występujące w stosunkach jednostki z organami władzy publicznej i niezwiązane z dziedzinami wskazanymi w pkt 1-16.</w:t>
      </w:r>
    </w:p>
    <w:p w14:paraId="2FD053C6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Osobie, której dotyczy zgłoszenie</w:t>
      </w:r>
      <w:r>
        <w:rPr>
          <w:color w:val="000000"/>
          <w:u w:color="000000"/>
        </w:rPr>
        <w:t xml:space="preserve"> - należ</w:t>
      </w:r>
      <w:r>
        <w:rPr>
          <w:color w:val="000000"/>
          <w:u w:color="000000"/>
        </w:rPr>
        <w:t xml:space="preserve">y przez to rozumieć osobę fizyczną, osobę prawną lub jednostkę organizacyjną nieposiadającą osobowości prawnej, której ustawa przyznaje zdolność prawną, wskazaną w zgłoszeniu jako osoba, która dopuściła się naruszenia prawa, lub jako osoba, z którą osoba, </w:t>
      </w:r>
      <w:r>
        <w:rPr>
          <w:color w:val="000000"/>
          <w:u w:color="000000"/>
        </w:rPr>
        <w:t>która dopuściła się naruszenia prawa, jest powiązana.</w:t>
      </w:r>
    </w:p>
    <w:p w14:paraId="662A92B1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Osobie </w:t>
      </w:r>
      <w:r>
        <w:rPr>
          <w:b/>
          <w:i/>
          <w:color w:val="000000"/>
          <w:u w:color="000000"/>
        </w:rPr>
        <w:t xml:space="preserve">pomagającej </w:t>
      </w:r>
      <w:r>
        <w:rPr>
          <w:b/>
          <w:color w:val="000000"/>
          <w:u w:color="000000"/>
        </w:rPr>
        <w:t>w dokonaniu zgłoszenia</w:t>
      </w:r>
      <w:r>
        <w:rPr>
          <w:color w:val="000000"/>
          <w:u w:color="000000"/>
        </w:rPr>
        <w:t xml:space="preserve"> - należy przez to rozumieć osobę fizyczną, która </w:t>
      </w:r>
      <w:r>
        <w:rPr>
          <w:i/>
          <w:color w:val="000000"/>
          <w:u w:color="000000"/>
        </w:rPr>
        <w:t>pomaga</w:t>
      </w:r>
      <w:r>
        <w:rPr>
          <w:color w:val="000000"/>
          <w:u w:color="000000"/>
        </w:rPr>
        <w:t xml:space="preserve"> sygnaliście w zgłoszeniu w kontekście związanym z pracą i której pomoc nie powinna zostać </w:t>
      </w:r>
      <w:r>
        <w:rPr>
          <w:color w:val="000000"/>
          <w:u w:color="000000"/>
        </w:rPr>
        <w:t>ujawniona.</w:t>
      </w:r>
    </w:p>
    <w:p w14:paraId="0A4A803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b/>
          <w:color w:val="000000"/>
          <w:u w:color="000000"/>
        </w:rPr>
        <w:t>Osobie powiązanej z sygnalistą</w:t>
      </w:r>
      <w:r>
        <w:rPr>
          <w:color w:val="000000"/>
          <w:u w:color="000000"/>
        </w:rPr>
        <w:t xml:space="preserve"> - należy przez to rozumieć osobę fizyczną, która może doświadczyć działań odwetowych, w tym współpracownika lub osobę najbliższą sygnalisty w rozumieniu art. 115 § 11       ustawy z dnia 6 czerwca 1997 r. - Kode</w:t>
      </w:r>
      <w:r>
        <w:rPr>
          <w:color w:val="000000"/>
          <w:u w:color="000000"/>
        </w:rPr>
        <w:t>ks karny.</w:t>
      </w:r>
    </w:p>
    <w:p w14:paraId="6726B299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 xml:space="preserve">Osobie zgłaszającej przypadki naruszenia prawa (sygnaliście) </w:t>
      </w:r>
      <w:r>
        <w:rPr>
          <w:color w:val="000000"/>
          <w:u w:color="000000"/>
        </w:rPr>
        <w:t>– należy przez to rozumieć osobę która zgłasza informację o naruszeniu prawa uzyskaną w kontekście związanym z pracą, w tym:</w:t>
      </w:r>
    </w:p>
    <w:p w14:paraId="529E7CE2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pracownik;</w:t>
      </w:r>
    </w:p>
    <w:p w14:paraId="2529DA1F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pracownik tymczasowy;</w:t>
      </w:r>
    </w:p>
    <w:p w14:paraId="51A19FF1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osoba </w:t>
      </w:r>
      <w:r>
        <w:rPr>
          <w:color w:val="000000"/>
          <w:u w:color="000000"/>
        </w:rPr>
        <w:t>świadcząca pracę na innej podstawie niż stosunek pracy, w tym na podstawie umowy cywilnoprawnej;</w:t>
      </w:r>
    </w:p>
    <w:p w14:paraId="4081C1BC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przedsiębiorca;</w:t>
      </w:r>
    </w:p>
    <w:p w14:paraId="4CF21353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prokurent;</w:t>
      </w:r>
    </w:p>
    <w:p w14:paraId="7DDC42AC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członek organu osoby prawnej lub jednostki organizacyjnej nieposiadającej osobowości prawnej;</w:t>
      </w:r>
    </w:p>
    <w:p w14:paraId="05F6B36E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osoba świadcząca pracę pod</w:t>
      </w:r>
      <w:r>
        <w:rPr>
          <w:color w:val="000000"/>
          <w:u w:color="000000"/>
        </w:rPr>
        <w:t xml:space="preserve"> nadzorem i kierownictwem wykonawcy, podwykonawcy lub dostawcy;</w:t>
      </w:r>
    </w:p>
    <w:p w14:paraId="644E28A6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stażysta;</w:t>
      </w:r>
    </w:p>
    <w:p w14:paraId="257A5028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wolontariusz;</w:t>
      </w:r>
    </w:p>
    <w:p w14:paraId="6061DEED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praktykant.</w:t>
      </w:r>
    </w:p>
    <w:p w14:paraId="25B2267B" w14:textId="77777777" w:rsidR="00A77B3E" w:rsidRDefault="00C61E2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Przez sygnalistę należy rozumieć także osobę fizyczną, o której mowa w pkt od 1 do 10, w przypadku zgłoszenia informacji o naruszeniu prawa uzyska</w:t>
      </w:r>
      <w:r>
        <w:rPr>
          <w:color w:val="000000"/>
          <w:u w:color="000000"/>
        </w:rPr>
        <w:t>nej w kontekście związanym z pracą przed nawiązaniem stosunku pracy lub innego stosunku prawnego stanowiącego podstawę świadczenia pracy, usług lub pełnienia funkcji u Pracodawcy lub na rzecz Pracodawcy lub już po ich ustaniu.</w:t>
      </w:r>
    </w:p>
    <w:p w14:paraId="3E7B043E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Pracodawcy</w:t>
      </w:r>
      <w:r>
        <w:rPr>
          <w:color w:val="000000"/>
          <w:u w:color="000000"/>
        </w:rPr>
        <w:t xml:space="preserve"> – należy przez</w:t>
      </w:r>
      <w:r>
        <w:rPr>
          <w:color w:val="000000"/>
          <w:u w:color="000000"/>
        </w:rPr>
        <w:t xml:space="preserve"> to rozumieć Starostwo Powiatowe w Lęborku.</w:t>
      </w:r>
    </w:p>
    <w:p w14:paraId="105E83E9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>Staroście</w:t>
      </w:r>
      <w:r>
        <w:rPr>
          <w:color w:val="000000"/>
          <w:u w:color="000000"/>
        </w:rPr>
        <w:t xml:space="preserve"> – należy przez to rozumieć Starostę Lęborskiego. </w:t>
      </w:r>
    </w:p>
    <w:p w14:paraId="14F73CC4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b/>
          <w:color w:val="000000"/>
          <w:u w:color="000000"/>
        </w:rPr>
        <w:t xml:space="preserve">Ustawie - </w:t>
      </w:r>
      <w:r>
        <w:rPr>
          <w:color w:val="000000"/>
          <w:u w:color="000000"/>
        </w:rPr>
        <w:t xml:space="preserve">należy przez to rozumieć ustawę z dnia 14 czerwca 2024 r. o  ochronie </w:t>
      </w:r>
      <w:proofErr w:type="spellStart"/>
      <w:r>
        <w:rPr>
          <w:color w:val="000000"/>
          <w:u w:color="000000"/>
        </w:rPr>
        <w:t>synalistów</w:t>
      </w:r>
      <w:proofErr w:type="spellEnd"/>
      <w:r>
        <w:rPr>
          <w:color w:val="000000"/>
          <w:u w:color="000000"/>
        </w:rPr>
        <w:t>.</w:t>
      </w:r>
    </w:p>
    <w:p w14:paraId="6BE2EABD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b/>
          <w:color w:val="000000"/>
          <w:u w:color="000000"/>
        </w:rPr>
        <w:t>Zgłoszeniu -</w:t>
      </w:r>
      <w:r>
        <w:rPr>
          <w:color w:val="000000"/>
          <w:u w:color="000000"/>
        </w:rPr>
        <w:t xml:space="preserve">– należy przez to rozumieć </w:t>
      </w:r>
      <w:r>
        <w:rPr>
          <w:color w:val="000000"/>
          <w:u w:color="000000"/>
        </w:rPr>
        <w:t>wewnętrzne zgłoszenie naruszeń prawa, tj. przekazanie Pracodawcy za pomocą ustanowionych kanałów wewnętrznych informacji o naruszeniu prawa.</w:t>
      </w:r>
    </w:p>
    <w:p w14:paraId="7B54560F" w14:textId="77777777" w:rsidR="00A77B3E" w:rsidRDefault="00C61E28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Zgłoszenia</w:t>
      </w:r>
    </w:p>
    <w:p w14:paraId="6D7671F6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Zgłoszenie może być przekazane przez Sygnalistę pisemnie poprzez:</w:t>
      </w:r>
    </w:p>
    <w:p w14:paraId="73FED596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skierowanie zgł</w:t>
      </w:r>
      <w:r>
        <w:rPr>
          <w:color w:val="000000"/>
          <w:u w:color="000000"/>
        </w:rPr>
        <w:t xml:space="preserve">oszenia na adres </w:t>
      </w:r>
      <w:r>
        <w:rPr>
          <w:i/>
          <w:color w:val="000000"/>
          <w:u w:color="000000"/>
        </w:rPr>
        <w:t xml:space="preserve">Starostwo Powiatowe w Lęborku, ul. Czołgistów 5, 84-300 Lębork – </w:t>
      </w:r>
      <w:r>
        <w:rPr>
          <w:color w:val="000000"/>
          <w:u w:color="000000"/>
        </w:rPr>
        <w:t xml:space="preserve">zgłoszenie winno być umieszczone w zaklejonej kopercie oznaczonej wyraźnym napisem „SYGNALISTA – zgłoszenie wewnętrzne” a następnie umieszczone w drugiej kopercie opatrzonej </w:t>
      </w:r>
      <w:r>
        <w:rPr>
          <w:color w:val="000000"/>
          <w:u w:color="000000"/>
        </w:rPr>
        <w:lastRenderedPageBreak/>
        <w:t xml:space="preserve">ww. adresem Pracodawcy. Po wpłynięciu takiego zgłoszenia Pracownik Biura Obsługi Pracodawcy </w:t>
      </w:r>
      <w:r>
        <w:rPr>
          <w:color w:val="000000"/>
          <w:u w:val="single" w:color="000000"/>
        </w:rPr>
        <w:t>bez otwierania oznaczonej napisem „SYGNALISTA – zgłoszenie wewnętrzne” koperty</w:t>
      </w:r>
      <w:r>
        <w:rPr>
          <w:color w:val="000000"/>
          <w:u w:color="000000"/>
        </w:rPr>
        <w:t>, niezwłocznie przekazuje ją wraz z kopertą adresową Pełnomocnikowi ds. zgłoszeń,</w:t>
      </w:r>
    </w:p>
    <w:p w14:paraId="1254D90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</w:t>
      </w:r>
      <w:r>
        <w:rPr>
          <w:color w:val="000000"/>
          <w:u w:color="000000"/>
        </w:rPr>
        <w:t>rzesłanie zgłoszenia drogą elektroniczną, na dedykowany adres e-mail: sygnalista.zgloszeniewewnetrzne@starostwolebork.pl       (dostęp do dedykowanego adresu e-mail posiadać będzie wyłącznie Pełnomocnik ds. zgłoszeń).</w:t>
      </w:r>
    </w:p>
    <w:p w14:paraId="5C159211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anonimowe pozostawia się</w:t>
      </w:r>
      <w:r>
        <w:rPr>
          <w:color w:val="000000"/>
          <w:u w:color="000000"/>
        </w:rPr>
        <w:t xml:space="preserve"> bez rozpoznania, chyba, że z okoliczności wskazanych w zgłoszeniu istnieje możliwość identyfikacji sygnalisty. Jeżeli anonimowe zgłoszenie zawiera adres do kontaktu  należy przekazać informację o pozostawieniu jego bez rozpoznania.</w:t>
      </w:r>
    </w:p>
    <w:p w14:paraId="42917170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Zgłoszenie powinno z</w:t>
      </w:r>
      <w:r>
        <w:rPr>
          <w:color w:val="000000"/>
          <w:u w:color="000000"/>
        </w:rPr>
        <w:t>awierać przejrzyste i pełne wyjaśnienie przedmiotu zgłoszenia, w tym co najmniej:</w:t>
      </w:r>
    </w:p>
    <w:p w14:paraId="60B9B8AB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osobowe sygnalisty, w tym  adres do kontaktu – korespondencyjny lub elektroniczny;</w:t>
      </w:r>
    </w:p>
    <w:p w14:paraId="4FEE4FF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osób, które dopuściły się naruszenia prawa;</w:t>
      </w:r>
    </w:p>
    <w:p w14:paraId="047D7F89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datę oraz miejsce </w:t>
      </w:r>
      <w:r>
        <w:rPr>
          <w:color w:val="000000"/>
          <w:u w:color="000000"/>
        </w:rPr>
        <w:t>zaistnienia naruszenia prawa lub datę i miejsce pozyskania informacji o naruszeniu prawa;</w:t>
      </w:r>
    </w:p>
    <w:p w14:paraId="5D9259F9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opis sytuacji lub okoliczności stwarzających możliwość wystąpienia naruszenia prawa;</w:t>
      </w:r>
    </w:p>
    <w:p w14:paraId="52928FEE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osoby, której dotyczy zgłoszenie;</w:t>
      </w:r>
    </w:p>
    <w:p w14:paraId="5BA87B92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wskazanie </w:t>
      </w:r>
      <w:r>
        <w:rPr>
          <w:color w:val="000000"/>
          <w:u w:color="000000"/>
        </w:rPr>
        <w:t>ewentualnej osoby pokrzywdzonej;</w:t>
      </w:r>
    </w:p>
    <w:p w14:paraId="69996F4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wskazanie ewentualnych świadków naruszenia prawa;</w:t>
      </w:r>
    </w:p>
    <w:p w14:paraId="3E4EA519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wskazanie dowodów i informacji, jakimi dysponuje sygnalista, które mogą okazać się pomocne w procesie rozpatrywania zgłoszenia.</w:t>
      </w:r>
    </w:p>
    <w:p w14:paraId="6A2093A9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Zgłoszenie może być dokonane wyłączn</w:t>
      </w:r>
      <w:r>
        <w:rPr>
          <w:color w:val="000000"/>
          <w:u w:color="000000"/>
        </w:rPr>
        <w:t>ie w dobrej wierze. Zgodnie z art. 57 ustawy, kto dokonuje zgłoszenia wewnętrznego wiedząc, że do naruszenia prawa nie doszło podlega grzywnie, karze ograniczenia wolności albo pozbawienia wolności do lat 2.</w:t>
      </w:r>
    </w:p>
    <w:p w14:paraId="7ECDA397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Pełnomocnik ds. zgłoszeń potwierdza przyjęcie</w:t>
      </w:r>
      <w:r>
        <w:rPr>
          <w:color w:val="000000"/>
          <w:u w:color="000000"/>
        </w:rPr>
        <w:t xml:space="preserve"> zgłoszenia wewnętrznego na adres do kontaktu niezwłocznie, nie później jednak niż w terminie 7 dni roboczych od dnia otrzymania zgłoszenia, o ile sygnalista wskazał adres do kontaktu.</w:t>
      </w:r>
    </w:p>
    <w:p w14:paraId="3209D8F5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Przyjęte środki komunikacji na potrzeby zgłoszeń wewnętrznych:</w:t>
      </w:r>
    </w:p>
    <w:p w14:paraId="3ED507A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są</w:t>
      </w:r>
      <w:r>
        <w:rPr>
          <w:color w:val="000000"/>
          <w:u w:color="000000"/>
        </w:rPr>
        <w:t xml:space="preserve"> niezależne od sposobów komunikacji wykorzystywanych w ramach zwykłej działalności Urzędu,</w:t>
      </w:r>
    </w:p>
    <w:p w14:paraId="0D931A37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zapewniają poufność i integralność danych, w tym ich zabezpieczenie przed odczytaniem przez osoby nieuprawnione.</w:t>
      </w:r>
    </w:p>
    <w:p w14:paraId="5F615837" w14:textId="77777777" w:rsidR="00A77B3E" w:rsidRDefault="00C61E28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Pełnomocnik ds. zgłoszeń</w:t>
      </w:r>
    </w:p>
    <w:p w14:paraId="3482249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Star</w:t>
      </w:r>
      <w:r>
        <w:rPr>
          <w:color w:val="000000"/>
          <w:u w:color="000000"/>
        </w:rPr>
        <w:t>osta w formie zarządzenia ustanawia Pełnomocnika ds. zgłoszeń oraz jego zastępcę biorąc pod uwagę kwalifikacje zawodowe, w szczególności fachową wiedzę na temat prawa i praktyk w dziedzinie ochrony danych osobowych oraz umiejętności wypełniania powierzonyc</w:t>
      </w:r>
      <w:r>
        <w:rPr>
          <w:color w:val="000000"/>
          <w:u w:color="000000"/>
        </w:rPr>
        <w:t>h zadań.</w:t>
      </w:r>
    </w:p>
    <w:p w14:paraId="7FC1F922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Określone w dalszej części obowiązki i uprawnienia Pełnomocnika ds. zgłoszeń dotyczą również jego zastępcy.</w:t>
      </w:r>
    </w:p>
    <w:p w14:paraId="4F7F9678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Pełnomocnik ds. zgłoszeń upoważniony jest do przyjmowania zgłoszeń, podejmowania działań następczych, włączając w to weryfikację zgło</w:t>
      </w:r>
      <w:r>
        <w:rPr>
          <w:color w:val="000000"/>
          <w:u w:color="000000"/>
        </w:rPr>
        <w:t>szenia i dalszą komunikację z </w:t>
      </w:r>
      <w:r>
        <w:rPr>
          <w:i/>
          <w:color w:val="000000"/>
          <w:u w:color="000000"/>
        </w:rPr>
        <w:t>sygnalistą</w:t>
      </w:r>
      <w:r>
        <w:rPr>
          <w:color w:val="000000"/>
          <w:u w:color="000000"/>
        </w:rPr>
        <w:t xml:space="preserve">, w tym występowanie o dodatkowe informacje i przekazywanie </w:t>
      </w:r>
      <w:r>
        <w:rPr>
          <w:i/>
          <w:color w:val="000000"/>
          <w:u w:color="000000"/>
        </w:rPr>
        <w:t xml:space="preserve">sygnaliście </w:t>
      </w:r>
      <w:r>
        <w:rPr>
          <w:color w:val="000000"/>
          <w:u w:color="000000"/>
        </w:rPr>
        <w:t>informacji zwrotnej oraz związanego z tym przetwarzania danych osobowych.</w:t>
      </w:r>
    </w:p>
    <w:p w14:paraId="6CBC6304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Pełnomocnik ds. zgłoszeń zobowiązany jest podejmować </w:t>
      </w:r>
      <w:r>
        <w:rPr>
          <w:color w:val="000000"/>
          <w:u w:color="000000"/>
        </w:rPr>
        <w:t xml:space="preserve">działania z należytą starannością oraz do zachowania poufności, w tym do nieujawniania informacji mogących skutkować ustaleniem tożsamości: sygnalisty, osoby, której dotyczy zgłoszenie, innej osoby wskazanej w zgłoszeniu oraz osoby pomagającej w dokonaniu </w:t>
      </w:r>
      <w:r>
        <w:rPr>
          <w:color w:val="000000"/>
          <w:u w:color="000000"/>
        </w:rPr>
        <w:t>zgłoszenia.</w:t>
      </w:r>
    </w:p>
    <w:p w14:paraId="122F8019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Pełnomocnik ds. zgłoszeń prowadzi rejestr zgłoszeń wewnętrznych. Wpisu do rejestru zgłoszeń wewnętrznych dokonuje się na podstawie zgłoszenia.</w:t>
      </w:r>
    </w:p>
    <w:p w14:paraId="43520B6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rejestrze zgłoszeń wewnętrznych gromadzone są dane obejmujące:</w:t>
      </w:r>
    </w:p>
    <w:p w14:paraId="3D8D7EAF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numer zgłoszenia,</w:t>
      </w:r>
    </w:p>
    <w:p w14:paraId="7841E5D9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przedm</w:t>
      </w:r>
      <w:r>
        <w:rPr>
          <w:color w:val="000000"/>
          <w:u w:color="000000"/>
        </w:rPr>
        <w:t>iot naruszenia prawa,</w:t>
      </w:r>
    </w:p>
    <w:p w14:paraId="131BB3B7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osobowe sygnalisty oraz osoby, której dotyczy zgłoszenie, niezbędne do identyfikacji tych osób,</w:t>
      </w:r>
    </w:p>
    <w:p w14:paraId="28CA2CF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adres do kontaktu sygnalisty,</w:t>
      </w:r>
    </w:p>
    <w:p w14:paraId="6F2B4C5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datę dokonania zgłoszenia,</w:t>
      </w:r>
    </w:p>
    <w:p w14:paraId="6B1C1B7D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informację o podjętych działaniach następczych,</w:t>
      </w:r>
    </w:p>
    <w:p w14:paraId="305776AF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datę zakończe</w:t>
      </w:r>
      <w:r>
        <w:rPr>
          <w:color w:val="000000"/>
          <w:u w:color="000000"/>
        </w:rPr>
        <w:t>nia sprawy.</w:t>
      </w:r>
    </w:p>
    <w:p w14:paraId="2670DD2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Dane w rejestrze zgłoszeń wewnętrznych są przechowywane przez okres 3 lat po zakończeniu roku kalendarzowego, w którym zakończono działania następcze, lub po zakończeniu postępowań zainicjowanych tymi działaniami.</w:t>
      </w:r>
    </w:p>
    <w:p w14:paraId="52E22419" w14:textId="77777777" w:rsidR="00A77B3E" w:rsidRDefault="00C61E28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Postępowanie w sprawie zgłoszenia wewnętrznego</w:t>
      </w:r>
    </w:p>
    <w:p w14:paraId="488FAC9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Po otrzymaniu zgłoszenia, Pełnomocnik ds. zgłoszeń dokonuje wstępnej weryfikacji zgłoszenia polegającej na  sprawdzeniu czy: zgłoszenie zawiera elementy określone w § 3 ust. 3, osoba zgłaszająca przypa</w:t>
      </w:r>
      <w:r>
        <w:rPr>
          <w:color w:val="000000"/>
          <w:u w:color="000000"/>
        </w:rPr>
        <w:t>dek naruszenia prawa jest Sygnalistą w rozumieniu niniejszej Procedury, zgłoszenie dotyczy informacji o naruszeniu obszarów prawa objętego niniejszą Procedurą.</w:t>
      </w:r>
    </w:p>
    <w:p w14:paraId="4ADE2BE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Pełnomocnik ds. zgłoszeń uprawniony jest do wystąpienia do sygnalisty, z wykorzystaniem adres</w:t>
      </w:r>
      <w:r>
        <w:rPr>
          <w:color w:val="000000"/>
          <w:u w:color="000000"/>
        </w:rPr>
        <w:t>u do kontaktu, o wyjaśnienia lub dodatkowe informacje, jakie mogą być w jego posiadaniu. Jeżeli zgłaszający sprzeciwia się przesyłaniu wnioskowanych wyjaśnień lub dodatkowych informacji lub ich przesłanie może zagrozić ochronie tożsamości tej osoby, Pełnom</w:t>
      </w:r>
      <w:r>
        <w:rPr>
          <w:color w:val="000000"/>
          <w:u w:color="000000"/>
        </w:rPr>
        <w:t>ocnik ds. zgłoszeń odstępuje od żądania wyjaśnień lub dodatkowych informacji.</w:t>
      </w:r>
    </w:p>
    <w:p w14:paraId="4847E69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dokonaniu wstępnej weryfikacji, Pełnomocnik ds. zgłoszeń przeprowadza niezwłocznie postępowanie wyjaśniające w celu oceny prawdziwości informacji zawartych w </w:t>
      </w:r>
      <w:r>
        <w:rPr>
          <w:color w:val="000000"/>
          <w:u w:color="000000"/>
        </w:rPr>
        <w:t>zgłoszeniu.</w:t>
      </w:r>
    </w:p>
    <w:p w14:paraId="0966BB67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sytuacji, gdy z treści zgłoszenia wynika, że osoba zgłaszająca przypadek naruszenia prawa nie jest Sygnalistą w rozumieniu niniejszej Procedury, zgłoszenie dotyczy informacji o naruszeniu obszarów prawa nie objętego niniejszą Procedurą lub</w:t>
      </w:r>
      <w:r>
        <w:rPr>
          <w:color w:val="000000"/>
          <w:u w:color="000000"/>
        </w:rPr>
        <w:t xml:space="preserve"> jest ono bezspornie nieprawdziwe lub niemożliwe jest uzyskanie informacji niezbędnych do prowadzenia postępowania wyjaśniającego Pełnomocnik ds. zgłoszeń nie przeprowadza postępowania wyjaśniającego. Pełnomocnik ds. zgłoszeń nie przeprowadza postępowania </w:t>
      </w:r>
      <w:r>
        <w:rPr>
          <w:color w:val="000000"/>
          <w:u w:color="000000"/>
        </w:rPr>
        <w:t>wyjaśniającego również w przypadku, gdy zgłoszenie wewnętrzne dotyczy sprawy, która była już przedmiotem wcześniejszego zgłoszenia, a w ponownym zgłoszeniu nie zawarto istotnych nowych informacji na temat naruszeń w stosunku do wcześniejszego zgłoszenia we</w:t>
      </w:r>
      <w:r>
        <w:rPr>
          <w:color w:val="000000"/>
          <w:u w:color="000000"/>
        </w:rPr>
        <w:t>wnętrznego. Adnotację o tym zamieszcza się w rejestrze zgłoszeń oraz protokole przyjęcia zgłoszenia.</w:t>
      </w:r>
    </w:p>
    <w:p w14:paraId="453011E5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sytuacji, gdy z treści zgłoszenia wynika, że osoba zgłaszająca przypadek naruszenia prawa nie jest Sygnalistą w rozumieniu niniejszej Procedury, zgłos</w:t>
      </w:r>
      <w:r>
        <w:rPr>
          <w:color w:val="000000"/>
          <w:u w:color="000000"/>
        </w:rPr>
        <w:t>zenie dotyczy informacji o naruszeniu obszarów prawa nie objętego niniejszą Procedurą Pełnomocnik ds. zgłoszeń w przesłanej informacji zwrotnej może poinformować sygnalistę, że informacja objęta zgłoszeniem podlega rozpatrzeniu w trybie przewidzianym w prz</w:t>
      </w:r>
      <w:r>
        <w:rPr>
          <w:color w:val="000000"/>
          <w:u w:color="000000"/>
        </w:rPr>
        <w:t>episach odrębnych, w szczególności jako przedmiot powództwa cywilnego, zawiadomienia o podejrzeniu popełnienia przestępstwa, skargi do sądu administracyjnego, skargi, wniosku lub petycji, lub może zostać przedstawiona właściwym organom do rozpatrzenia w in</w:t>
      </w:r>
      <w:r>
        <w:rPr>
          <w:color w:val="000000"/>
          <w:u w:color="000000"/>
        </w:rPr>
        <w:t>nym trybie. Poinformowanie sygnalisty nie wpływa w szczególności na dopuszczalność wniesionego później środka prawnego, na bieg terminów ani na treść rozstrzygnięcia lub sposób zakończenia postępowania. Informacja przekazana sygnaliście zawiera pouczenie w</w:t>
      </w:r>
      <w:r>
        <w:rPr>
          <w:color w:val="000000"/>
          <w:u w:color="000000"/>
        </w:rPr>
        <w:t> tym zakresie.</w:t>
      </w:r>
    </w:p>
    <w:p w14:paraId="602B4FDD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Wstępna weryfikacja zgłoszenia oraz postępowanie wyjaśniające może toczyć się przed Zespołem ds. naruszeń prawa, powołanym na zasadach określonych w niniejszej Procedurze. Nadzór nad wstępną weryfikacją zgłoszenia oraz postępowaniem wyjaś</w:t>
      </w:r>
      <w:r>
        <w:rPr>
          <w:color w:val="000000"/>
          <w:u w:color="000000"/>
        </w:rPr>
        <w:t>niającym prowadzonym przez Zespół ds. naruszeń prawa sprawuje Pełnomocnik ds. zgłoszeń.</w:t>
      </w:r>
    </w:p>
    <w:p w14:paraId="78A3AAA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Zespół ds. naruszeń prawa prowadzi postępowanie w składzie co najmniej 3-osobowym.</w:t>
      </w:r>
    </w:p>
    <w:p w14:paraId="39D77D1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Członkami zespołu mogą być pracownicy posiadający odpowiednie kwalifikacje zawo</w:t>
      </w:r>
      <w:r>
        <w:rPr>
          <w:color w:val="000000"/>
          <w:u w:color="000000"/>
        </w:rPr>
        <w:t>dowe, w szczególności posiadający fachową wiedzę na temat prawa i praktyk w dziedzinie ochrony danych osobowych oraz umiejętności wypełniania powierzonych zadań.</w:t>
      </w:r>
    </w:p>
    <w:p w14:paraId="1AE60DA8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Pracownicy wchodzący w skład Zespołu ds. naruszeń prawa zobowiązani są podejmować działania</w:t>
      </w:r>
      <w:r>
        <w:rPr>
          <w:color w:val="000000"/>
          <w:u w:color="000000"/>
        </w:rPr>
        <w:t xml:space="preserve"> z należytą starannością oraz zobowiązani są do zachowania tajemnicy, w tym do nieujawniania informacji mogących skutkować ustaleniem tożsamości: sygnalisty, osoby, której dotyczy zgłoszenie, innej osoby wskazanej w zgłoszeniu oraz osoby pomagającej w doko</w:t>
      </w:r>
      <w:r>
        <w:rPr>
          <w:color w:val="000000"/>
          <w:u w:color="000000"/>
        </w:rPr>
        <w:t>naniu zgłoszenia.</w:t>
      </w:r>
    </w:p>
    <w:p w14:paraId="06A6B20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Członkowie Zespołu ds. naruszeń prawa powoływani są doraźnie na wniosek Pełnomocnika ds. zgłoszeń, zarządzeniem Starosty i prowadzą postępowanie na podstawie doraźnych upoważnień wydanych przez Starostę.</w:t>
      </w:r>
    </w:p>
    <w:p w14:paraId="4407D79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Członkiem Zespołu ds. naru</w:t>
      </w:r>
      <w:r>
        <w:rPr>
          <w:color w:val="000000"/>
          <w:u w:color="000000"/>
        </w:rPr>
        <w:t>szeń prawa nie może być:</w:t>
      </w:r>
    </w:p>
    <w:p w14:paraId="7BE7503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sygnalista, który przekazał zgłoszenie, będące przedmiotem wyjaśnienia;</w:t>
      </w:r>
    </w:p>
    <w:p w14:paraId="73FC3D71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osoba, której dotyczy zgłoszenie;</w:t>
      </w:r>
    </w:p>
    <w:p w14:paraId="2ECE0992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osoba będąca bezpośrednim podwładnym lub przełożonym osoby, której dotyczy zgłoszenie;</w:t>
      </w:r>
    </w:p>
    <w:p w14:paraId="3151E0B6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osoba bliska w stosunku do</w:t>
      </w:r>
      <w:r>
        <w:rPr>
          <w:color w:val="000000"/>
          <w:u w:color="000000"/>
        </w:rPr>
        <w:t xml:space="preserve"> osoby, której dotyczy zgłoszenie (w rozumieniu przepisów kodeksu karnego);</w:t>
      </w:r>
    </w:p>
    <w:p w14:paraId="2D266236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osoba wykonująca czynności lub załatwiająca sprawy, których prawidłowość będzie przedmiotem badania;</w:t>
      </w:r>
    </w:p>
    <w:p w14:paraId="34927F0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osoba, której udział w postępowaniu wzbudzałby uzasadnione wątpliwości co</w:t>
      </w:r>
      <w:r>
        <w:rPr>
          <w:color w:val="000000"/>
          <w:u w:color="000000"/>
        </w:rPr>
        <w:t xml:space="preserve"> do jej bezstronności z innych przyczyn.</w:t>
      </w:r>
    </w:p>
    <w:p w14:paraId="731FAEA4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trakcie prowadzenia postępowania wyjaśniającego członkowie Zespołu (a w przypadku jego nie powołania Pełnomocnik ds. zgłoszeń) mają prawo:</w:t>
      </w:r>
    </w:p>
    <w:p w14:paraId="217BC2E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dostępu do dokumentów i danych będących w posiadaniu Pracodawcy;</w:t>
      </w:r>
    </w:p>
    <w:p w14:paraId="23F05B4E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</w:t>
      </w:r>
      <w:r>
        <w:t> </w:t>
      </w:r>
      <w:r>
        <w:rPr>
          <w:color w:val="000000"/>
          <w:u w:color="000000"/>
        </w:rPr>
        <w:t>uzyskiwania przetworzonych i nieprzetworzonych informacji od pracowników poszczególnych samodzielnych komórek organizacyjnych u Pracodawcy;</w:t>
      </w:r>
    </w:p>
    <w:p w14:paraId="56EB74D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uzyskiwania ustnych i pisemnych wyjaśnień od pracowników i zleceniobiorców Pracodawcy;</w:t>
      </w:r>
    </w:p>
    <w:p w14:paraId="21EE03BF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dostępu do pomieszczeń</w:t>
      </w:r>
      <w:r>
        <w:rPr>
          <w:color w:val="000000"/>
          <w:u w:color="000000"/>
        </w:rPr>
        <w:t xml:space="preserve"> Pracodawcy w celu dokonania wizji lokalnej lub zabezpieczenia dowodów;</w:t>
      </w:r>
    </w:p>
    <w:p w14:paraId="43126D3C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korzystania z pomocy Inspektora Danych Osobowych, radców prawnych;</w:t>
      </w:r>
    </w:p>
    <w:p w14:paraId="34F56F23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konsultowania, w niezbędnym zakresie, uzyskanych informacji i danych z sygnalistą.</w:t>
      </w:r>
    </w:p>
    <w:p w14:paraId="46B57179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Z ustaleń </w:t>
      </w:r>
      <w:r>
        <w:rPr>
          <w:color w:val="000000"/>
          <w:u w:color="000000"/>
        </w:rPr>
        <w:t>poczynionych podczas postępowania wyjaśniającego Zespół sporządza raport i przedkłada go Pełnomocnikowi ds. zgłoszeń. Raport z postępowania zawiera opis ustalonego stanu faktycznego, w tym ustalone nieprawidłowości i ich przyczyny, zakres i skutki, osoby z</w:t>
      </w:r>
      <w:r>
        <w:rPr>
          <w:color w:val="000000"/>
          <w:u w:color="000000"/>
        </w:rPr>
        <w:t>a nie odpowiedzialne oraz zawiera uzasadnienie zasadności bądź niezasadności zgłoszenia.</w:t>
      </w:r>
    </w:p>
    <w:p w14:paraId="39CF0E0B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zgłoszenia zasadnego, Pełnomocnik ds. zgłoszeń wydaje Staroście rekomendacje</w:t>
      </w:r>
      <w:r>
        <w:rPr>
          <w:color w:val="000000"/>
          <w:u w:color="000000"/>
        </w:rPr>
        <w:br/>
        <w:t>w szczególności dotyczące:</w:t>
      </w:r>
    </w:p>
    <w:p w14:paraId="575A82BA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 xml:space="preserve">podjęcia stosownych działań naprawczych lub </w:t>
      </w:r>
      <w:r>
        <w:rPr>
          <w:color w:val="000000"/>
          <w:u w:color="000000"/>
        </w:rPr>
        <w:t>dyscyplinujących (nałożenie kary porządkowej, zmiana stanowiska pracy, rozwiązanie pracy) w przypadku gdy osoba, której dotyczy zgłoszenie jest pracownikiem;</w:t>
      </w:r>
    </w:p>
    <w:p w14:paraId="4656056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rozwiązania zawartej umowy cywilnoprawnej lub całkowitym zakończeniem współpracy między stronam</w:t>
      </w:r>
      <w:r>
        <w:rPr>
          <w:color w:val="000000"/>
          <w:u w:color="000000"/>
        </w:rPr>
        <w:t>i w przypadku gdy osoba, której dotyczy zgłoszenie świadczy usługi, dostarcza/odbiera towary/materiały/produkty/inne zależności;</w:t>
      </w:r>
    </w:p>
    <w:p w14:paraId="6D19B5C7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możliwych do podjęcia działań mających na celu wyeliminowanie i zapobieganie tożsamym lub podobnym naruszeniom co opisane w </w:t>
      </w:r>
      <w:r>
        <w:rPr>
          <w:color w:val="000000"/>
          <w:u w:color="000000"/>
        </w:rPr>
        <w:t>zgłoszeniu w przyszłości oraz możliwych do podjęcia działań w celu zminimalizowania negatywnych skutków naruszenia prawa;</w:t>
      </w:r>
    </w:p>
    <w:p w14:paraId="0E5F7514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wdrożenia lub modyfikacji zewnętrznych procedur, regulaminów;</w:t>
      </w:r>
    </w:p>
    <w:p w14:paraId="7F1B3563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przeprowadzenia szkoleń;</w:t>
      </w:r>
    </w:p>
    <w:p w14:paraId="51DC0ED9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przeprowadzenia </w:t>
      </w:r>
      <w:r>
        <w:rPr>
          <w:color w:val="000000"/>
          <w:u w:color="000000"/>
        </w:rPr>
        <w:t>kompleksowej kontroli;</w:t>
      </w:r>
    </w:p>
    <w:p w14:paraId="02328CA7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zawiadomienia odpowiednich organów, w tym zawiadomienia o możliwości popełnienia przestępstwa.</w:t>
      </w:r>
    </w:p>
    <w:p w14:paraId="684A92C5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 przypadku zgłoszenia niezasadnego, Pełnomocnik ds. zgłoszeń wydaje Staroście rekomendacje w szczególności dotyczące:</w:t>
      </w:r>
    </w:p>
    <w:p w14:paraId="0FED80F0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podjęcia </w:t>
      </w:r>
      <w:r>
        <w:rPr>
          <w:color w:val="000000"/>
          <w:u w:color="000000"/>
        </w:rPr>
        <w:t>stosownych działań naprawczych lub dyscyplinujących wobec sygnalisty (np. nałożenie kary porządkowej, zmiana stanowiska pracy, rozwiązanie stosunku  pracy) w przypadku gdy zgłoszenie przez sygnalistę pracownika naruszenie prawa jest w sposób oczywiście bez</w:t>
      </w:r>
      <w:r>
        <w:rPr>
          <w:color w:val="000000"/>
          <w:u w:color="000000"/>
        </w:rPr>
        <w:t>podstawne lub dokonane w złej wierze (np. poprzez umyślne pomówienie adresata zgłoszenia poprzez poświadczenie nieprawdy (nieprawdziwe zgłoszenie) bądź inne negatywne zachowania mające na celu postawienie osoby, której dotyczy zgłoszenie w niekorzystnym po</w:t>
      </w:r>
      <w:r>
        <w:rPr>
          <w:color w:val="000000"/>
          <w:u w:color="000000"/>
        </w:rPr>
        <w:t>łożeniu);</w:t>
      </w:r>
    </w:p>
    <w:p w14:paraId="25783ADA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rozwiązania zawartej umowy cywilnoprawnej lub całkowitym zakończeniem współpracy z Sygnalistą który świadczy usługi, dostarcza/odbiera towary/materiały/produkty/inne zależności w przypadku gdy zgłoszenie przez Sygnalistę niebędącego pracowniki</w:t>
      </w:r>
      <w:r>
        <w:rPr>
          <w:color w:val="000000"/>
          <w:u w:color="000000"/>
        </w:rPr>
        <w:t>em naruszenie prawa jest w sposób oczywiście bezpodstawne lub dokonane w złej wierze (np. poprzez umyślne pomówienie adresata zgłoszenia poprzez poświadczenie nieprawdy (nieprawdziwe zgłoszenie) bądź inne negatywne zachowania mające na celu postawienie oso</w:t>
      </w:r>
      <w:r>
        <w:rPr>
          <w:color w:val="000000"/>
          <w:u w:color="000000"/>
        </w:rPr>
        <w:t>by, której dotyczy zgłoszenie w niekorzystnym położeniu).</w:t>
      </w:r>
    </w:p>
    <w:p w14:paraId="10767180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Pełnomocnik ds. zgłoszeń przekazuje sygnaliście, na adres do kontaktu, informację zwrotną w terminie nieprzekraczającym 3 miesięcy od dnia potwierdzenia przyjęcia zgłoszenia lub w przypadku niep</w:t>
      </w:r>
      <w:r>
        <w:rPr>
          <w:color w:val="000000"/>
          <w:u w:color="000000"/>
        </w:rPr>
        <w:t>rzekazania potwierdzenia przyjęcia zgłoszenia w terminie 3 miesięcy od upływu 7 dni od dokonania zgłoszenia. Informacja zwrotna obejmuje w szczególności informację o stwierdzeniu bądź braku stwierdzenia wystąpienia naruszenia prawa i ewentualnych środkach,</w:t>
      </w:r>
      <w:r>
        <w:rPr>
          <w:color w:val="000000"/>
          <w:u w:color="000000"/>
        </w:rPr>
        <w:t xml:space="preserve"> które zostały lub zostaną zastosowane w reakcji na stwierdzone naruszenie prawa. W sytuacji gdy nie przeprowadzono postępowania wyjaśniającego informacja zwrotna zawiera informację o przyczynach braku rozpoznania zgłoszenia.</w:t>
      </w:r>
    </w:p>
    <w:p w14:paraId="2AECE6BC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16. </w:t>
      </w:r>
      <w:r>
        <w:rPr>
          <w:color w:val="000000"/>
          <w:u w:color="000000"/>
        </w:rPr>
        <w:t>W przypadku spraw skomplik</w:t>
      </w:r>
      <w:r>
        <w:rPr>
          <w:color w:val="000000"/>
          <w:u w:color="000000"/>
        </w:rPr>
        <w:t>owanych, w których pełne zbadanie zgłoszenia wymagać będzie czasu dłuższego niż trzy miesiące Pełnomocnik ds. zgłoszeń przed upływem 3 miesięcznego terminu, o którym mowa w pkt 15,  przekazuje sygnaliście, na adres do kontaktu, informację o dotychczas podj</w:t>
      </w:r>
      <w:r>
        <w:rPr>
          <w:color w:val="000000"/>
          <w:u w:color="000000"/>
        </w:rPr>
        <w:t>ętych działaniach następczych oraz konieczności dalszego badania sprawy. W takim przypadku sygnalista otrzyma końcową informację zwrotną niezwłocznie po zakończeniu postępowania.</w:t>
      </w:r>
    </w:p>
    <w:p w14:paraId="5D5C8CB7" w14:textId="77777777" w:rsidR="00A77B3E" w:rsidRDefault="00C61E28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Ochrona poufności</w:t>
      </w:r>
    </w:p>
    <w:p w14:paraId="428F4131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Ochrona poufności dotyczy wszystkich in</w:t>
      </w:r>
      <w:r>
        <w:rPr>
          <w:color w:val="000000"/>
          <w:u w:color="000000"/>
        </w:rPr>
        <w:t>formacji objętych zgłoszeniem, w tym danych osobowych, na podstawie których można bezpośrednio lub pośrednio zidentyfikować tożsamość sygnalisty, osoby, której dotyczy zgłoszenie, innej osoby wskazanej w zgłoszeniu oraz osoby pomagającej w dokonaniu zgłosz</w:t>
      </w:r>
      <w:r>
        <w:rPr>
          <w:color w:val="000000"/>
          <w:u w:color="000000"/>
        </w:rPr>
        <w:t>enia Pracodawca przetwarza dane osobowe w zakresie niezbędnym do przyjęcia zgłoszenia lub podjęcia ewentualnego działania następczego. Dane osobowe, które nie mają znaczenia dla rozpatrywania zgłoszenia, nie są zbierane, a w razie przypadkowego zebrania są</w:t>
      </w:r>
      <w:r>
        <w:rPr>
          <w:color w:val="000000"/>
          <w:u w:color="000000"/>
        </w:rPr>
        <w:t xml:space="preserve"> niezwłocznie usuwane. Usunięcie tych danych osobowych następuje w terminie 14 dni od chwili ustalenia, że nie mają one znaczenia dla sprawy.</w:t>
      </w:r>
    </w:p>
    <w:p w14:paraId="0CC4C02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Zapewniając ochronę, o której mowa w ust. 1 Pracodawca, w szczególności podejmuje działania gwarantujące poszan</w:t>
      </w:r>
      <w:r>
        <w:rPr>
          <w:color w:val="000000"/>
          <w:u w:color="000000"/>
        </w:rPr>
        <w:t>owanie zasady poufności danych osobowych, ochronę tożsamości sygnalisty, osoby, której dotyczy zgłoszenie, innej osoby wskazanej w zgłoszeniu oraz osoby pomagającej w dokonaniu zgłoszenia na każdym etapie postępowania, jak i po jego zakończeniu, obejmujące</w:t>
      </w:r>
      <w:r>
        <w:rPr>
          <w:color w:val="000000"/>
          <w:u w:color="000000"/>
        </w:rPr>
        <w:t>, oprócz bezpiecznych kanałów zgłoszeń w szczególności:</w:t>
      </w:r>
    </w:p>
    <w:p w14:paraId="730D7435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ograniczenie dostępu do informacji zawartych w zgłoszeniu, w tym danych osobowych sygnalisty, osoby, której dotyczy zgłoszenie, innej osoby wskazanej w zgłoszeniu oraz osoby pomagającej w dokonaniu</w:t>
      </w:r>
      <w:r>
        <w:rPr>
          <w:color w:val="000000"/>
          <w:u w:color="000000"/>
        </w:rPr>
        <w:t xml:space="preserve"> zgłoszenia wyłącznie do osób upoważnionych do prowadzenia postępowania w sprawie zgłoszenia, </w:t>
      </w:r>
      <w:proofErr w:type="spellStart"/>
      <w:r>
        <w:rPr>
          <w:color w:val="000000"/>
          <w:u w:color="000000"/>
        </w:rPr>
        <w:t>tj</w:t>
      </w:r>
      <w:proofErr w:type="spellEnd"/>
      <w:r>
        <w:rPr>
          <w:color w:val="000000"/>
          <w:u w:color="000000"/>
        </w:rPr>
        <w:t xml:space="preserve"> do przyjmowania i weryfikacji zgłoszeń, podejmowania działań następczych oraz do przetwarzania danych osobowych,</w:t>
      </w:r>
    </w:p>
    <w:p w14:paraId="66300ABD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odebranie od osób upoważnionych do prowadze</w:t>
      </w:r>
      <w:r>
        <w:rPr>
          <w:color w:val="000000"/>
          <w:u w:color="000000"/>
        </w:rPr>
        <w:t>nia postępowania w sprawie zgłoszenia pisemnych oświadczeń o zobowiązaniu do zachowania w poufności informacji pozyskanych w prowadzonym postępowaniu również w czasie trwania stosunku pracy jak i po jego zakończeniu,</w:t>
      </w:r>
    </w:p>
    <w:p w14:paraId="5C18EDAB" w14:textId="77777777" w:rsidR="00A77B3E" w:rsidRDefault="00C61E28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przechowywanie dokumentów zgromadzon</w:t>
      </w:r>
      <w:r>
        <w:rPr>
          <w:color w:val="000000"/>
          <w:u w:color="000000"/>
        </w:rPr>
        <w:t>ych w trakcie prowadzonego postępowania i po jego zakończeniu w sposób uniemożliwiający dostęp do nich osobom nieupoważnionym.</w:t>
      </w:r>
    </w:p>
    <w:p w14:paraId="4362A05F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Ujawnienie danych osobowych sygnalisty, osoby, której zgłoszenie dotyczy oraz innych osób wskazanych w zgłoszeniu  jest możliw</w:t>
      </w:r>
      <w:r>
        <w:rPr>
          <w:color w:val="000000"/>
          <w:u w:color="000000"/>
        </w:rPr>
        <w:t>e jedynie w przypadkach określonych w ustawie.</w:t>
      </w:r>
    </w:p>
    <w:p w14:paraId="39AF41E4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osobowe przetwarzane w związku z przyjęciem zgłoszenia lub podjęciem działań następczych oraz dokumenty związane z tym zgłoszeniem są przechowywane przez Pracodawcę przez okres 3 lat po zakończeniu rok</w:t>
      </w:r>
      <w:r>
        <w:rPr>
          <w:color w:val="000000"/>
          <w:u w:color="000000"/>
        </w:rPr>
        <w:t>u kalendarzowego, w którym przekazano zgłoszenie lub zakończono działania następcze, lub po zakończeniu postępowań zainicjowanych tymi działaniami.</w:t>
      </w:r>
    </w:p>
    <w:p w14:paraId="137F9874" w14:textId="77777777" w:rsidR="00A77B3E" w:rsidRDefault="00C61E28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Ochrona Sygnalistów</w:t>
      </w:r>
    </w:p>
    <w:p w14:paraId="21085EB4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 xml:space="preserve">Pracodawca zapewnia Sygnaliście, który świadczył, świadczy, lub </w:t>
      </w:r>
      <w:r>
        <w:rPr>
          <w:color w:val="000000"/>
          <w:u w:color="000000"/>
        </w:rPr>
        <w:t>będzie świadczył pracę w ramach stosunku pracy, ochronę przed możliwymi działaniami odwetowymi, a także przed dyskryminacją i innymi formami wykluczenia lub nękania.</w:t>
      </w:r>
    </w:p>
    <w:p w14:paraId="5925DA95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Wobec sygnalisty nie mogą być podejmowane działania odwetowe, o których mowa w art. </w:t>
      </w:r>
      <w:r>
        <w:rPr>
          <w:color w:val="000000"/>
          <w:u w:color="000000"/>
        </w:rPr>
        <w:t>12 ustawy, ani próby lub groźby zastosowania takich działań.</w:t>
      </w:r>
    </w:p>
    <w:p w14:paraId="1C3F7301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Dokonanie przez sygnalistę zgłoszenia nie może stanowić podstawy odpowiedzialności, w tym odpowiedzialności dyscyplinarnej lub odpowiedzialności za szkodę z tytułu naruszenia praw innych osób </w:t>
      </w:r>
      <w:r>
        <w:rPr>
          <w:color w:val="000000"/>
          <w:u w:color="000000"/>
        </w:rPr>
        <w:t>lub obowiązków określonych w przepisach prawa, w szczególności w przedmiocie zniesławienia, naruszenia dóbr osobistych, praw autorskich, ochrony danych osobowych oraz obowiązku zachowania tajemnicy.</w:t>
      </w:r>
    </w:p>
    <w:p w14:paraId="492B9DEB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Objęcie sygnalisty ochroną zależy od posiadania przez </w:t>
      </w:r>
      <w:r>
        <w:rPr>
          <w:color w:val="000000"/>
          <w:u w:color="000000"/>
        </w:rPr>
        <w:t>niego uzasadnionych podstaw by sądzić, że informacja będąca przedmiotem zgłoszenia jest prawdziwa w momencie jego dokonania oraz, że stanowi ona informację o naruszeniu prawa.</w:t>
      </w:r>
    </w:p>
    <w:p w14:paraId="29560ED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Sygnalista podlega ochronie przed działaniami odwetowymi od chwili dokonania </w:t>
      </w:r>
      <w:r>
        <w:rPr>
          <w:color w:val="000000"/>
          <w:u w:color="000000"/>
        </w:rPr>
        <w:t>zgłoszenia.</w:t>
      </w:r>
    </w:p>
    <w:p w14:paraId="65836EF2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Sygnalista, który dokonując zgłoszenia działał w dobrej wierze, nie traci ochrony przed działaniami odwetowymi w przypadku, gdy w toku postępowania wyjaśniającego  okaże się, że zgłoszona informacja nie była prawdziwa.</w:t>
      </w:r>
    </w:p>
    <w:p w14:paraId="7E441FE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Ochrona sygnalisty </w:t>
      </w:r>
      <w:r>
        <w:rPr>
          <w:color w:val="000000"/>
          <w:u w:color="000000"/>
        </w:rPr>
        <w:t>rozciąga się na osobę pomagającą mu w dokonaniu zgłoszenia oraz osobę z nim powiązaną.</w:t>
      </w:r>
    </w:p>
    <w:p w14:paraId="16884FD6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Uzyskanie informacji będących przedmiotem zgłoszenia lub dostęp do takich informacji nie mogą stanowić podstawy odpowiedzialności sygnalisty, pod warunkiem że takie u</w:t>
      </w:r>
      <w:r>
        <w:rPr>
          <w:color w:val="000000"/>
          <w:u w:color="000000"/>
        </w:rPr>
        <w:t>zyskanie lub taki dostęp nie stanowią czynu zabronionego.</w:t>
      </w:r>
    </w:p>
    <w:p w14:paraId="066B8EB3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Osoba, która poniosła szkodę z powodu świadomego zgłoszenia nieprawdziwych informacji przez sygnalistę, ma prawo do odszkodowania lub zadośćuczynienia za naruszenie dóbr osobistych od sygnalisty,</w:t>
      </w:r>
      <w:r>
        <w:rPr>
          <w:color w:val="000000"/>
          <w:u w:color="000000"/>
        </w:rPr>
        <w:t xml:space="preserve"> który dokonał takiego zgłoszenia.</w:t>
      </w:r>
    </w:p>
    <w:p w14:paraId="674E2737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Pracodawca zapewnia Sygnaliście, który świadczył/wykonywał, świadczy/wykonuje, lub będzie świadczył/będzie wykonywał pracę/ usługi na podstawie innego niż stosunek pracy stosunku prawnego w ramach stosunku pracy, ochr</w:t>
      </w:r>
      <w:r>
        <w:rPr>
          <w:color w:val="000000"/>
          <w:u w:color="000000"/>
        </w:rPr>
        <w:t>onę przed możliwymi działaniami odwetowymi, a także przed dyskryminacją i innymi formami wykluczenia lub nękania na zasadach określonych w art. 13 ustawy.</w:t>
      </w:r>
    </w:p>
    <w:p w14:paraId="3C43600B" w14:textId="77777777" w:rsidR="00A77B3E" w:rsidRDefault="00C61E28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lastRenderedPageBreak/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 Informacje dotyczące zgłoszeń zewnętrznych</w:t>
      </w:r>
    </w:p>
    <w:p w14:paraId="7FC85185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Od dnia 25 grudnia 2024 r. zgłoszenie</w:t>
      </w:r>
      <w:r>
        <w:rPr>
          <w:color w:val="000000"/>
          <w:u w:color="000000"/>
        </w:rPr>
        <w:t xml:space="preserve"> może w każdym przypadku nastąpić również do Rzecznika Praw Obywatelskich lub innego organu publicznego, z pominięciem niniejszej Procedury, w szczególności gdy: w terminie na przekazanie informacji zwrotnej Pracodawca nie podjął działań następczych lub ni</w:t>
      </w:r>
      <w:r>
        <w:rPr>
          <w:color w:val="000000"/>
          <w:u w:color="000000"/>
        </w:rPr>
        <w:t>e przekazał informacji zwrotnej lub sygnalista ma uzasadnione podstawy sądzić, że naruszenie prawa może stanowić bezpośrednie lub oczywiste zagrożenie dla interesu publicznego, w szczególności istnieje ryzyko nieodwracalnej szkody, lub dokonanie zgłoszenia</w:t>
      </w:r>
      <w:r>
        <w:rPr>
          <w:color w:val="000000"/>
          <w:u w:color="000000"/>
        </w:rPr>
        <w:t xml:space="preserve"> wewnętrznego narazi go na działania odwetowe, lub w przypadku dokonania zgłoszenia wewnętrznego istnieje niewielkie prawdopodobieństwo skutecznego przeciwdziałania naruszeniu prawa przez Pracodawcę z uwagi na szczególne okoliczności sprawy, takie jak możl</w:t>
      </w:r>
      <w:r>
        <w:rPr>
          <w:color w:val="000000"/>
          <w:u w:color="000000"/>
        </w:rPr>
        <w:t>iwość ukrycia lub zniszczenia dowodów lub możliwość istnienia zmowy między Pracodawcą a sprawcą naruszenia prawa lub udziału Pracodawcy w naruszeniu prawa.</w:t>
      </w:r>
    </w:p>
    <w:p w14:paraId="42EC5F1E" w14:textId="77777777" w:rsidR="00A77B3E" w:rsidRDefault="00C61E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Zgłoszenie dokonane do Rzecznika Praw Obywatelskich lub innego organu publicznego z pominięciem z</w:t>
      </w:r>
      <w:r>
        <w:rPr>
          <w:color w:val="000000"/>
          <w:u w:color="000000"/>
        </w:rPr>
        <w:t>głoszenia wewnętrznego nie skutkuje pozbawieniem sygnalisty ochrony gwarantowanej przepisami ustawy.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2A92" w14:textId="77777777" w:rsidR="00C61E28" w:rsidRDefault="00C61E28">
      <w:r>
        <w:separator/>
      </w:r>
    </w:p>
  </w:endnote>
  <w:endnote w:type="continuationSeparator" w:id="0">
    <w:p w14:paraId="74298D89" w14:textId="77777777" w:rsidR="00C61E28" w:rsidRDefault="00C6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629F" w14:paraId="1B0DBF6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19259F" w14:textId="77777777" w:rsidR="0054629F" w:rsidRDefault="00C61E28">
          <w:pPr>
            <w:jc w:val="left"/>
            <w:rPr>
              <w:sz w:val="18"/>
            </w:rPr>
          </w:pPr>
          <w:r>
            <w:rPr>
              <w:sz w:val="18"/>
            </w:rPr>
            <w:t>Id: 2E3626BD-33E3-4FD5-9AEB-ED0F2BD63C3D.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C5384E" w14:textId="77777777" w:rsidR="0054629F" w:rsidRDefault="00C61E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72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974E606" w14:textId="77777777" w:rsidR="0054629F" w:rsidRDefault="0054629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629F" w14:paraId="77D289F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EB7078" w14:textId="77777777" w:rsidR="0054629F" w:rsidRDefault="00C61E28">
          <w:pPr>
            <w:jc w:val="left"/>
            <w:rPr>
              <w:sz w:val="18"/>
            </w:rPr>
          </w:pPr>
          <w:r>
            <w:rPr>
              <w:sz w:val="18"/>
            </w:rPr>
            <w:t>Id: 2E3626BD-33E3-4FD5-9AEB-ED0F2BD63C3D.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469517" w14:textId="17743C2E" w:rsidR="0054629F" w:rsidRDefault="00C61E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72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03B72C" w14:textId="77777777" w:rsidR="0054629F" w:rsidRDefault="005462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FA3D" w14:textId="77777777" w:rsidR="00C61E28" w:rsidRDefault="00C61E28">
      <w:r>
        <w:separator/>
      </w:r>
    </w:p>
  </w:footnote>
  <w:footnote w:type="continuationSeparator" w:id="0">
    <w:p w14:paraId="3CB07546" w14:textId="77777777" w:rsidR="00C61E28" w:rsidRDefault="00C61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17291"/>
    <w:rsid w:val="0054629F"/>
    <w:rsid w:val="00A77B3E"/>
    <w:rsid w:val="00C61E2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4C0C5"/>
  <w15:docId w15:val="{3D212455-BEA2-4703-80D5-FACB703B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3959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Lęborski</Company>
  <LinksUpToDate>false</LinksUpToDate>
  <CharactersWithSpaces>27659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33/2024 z dnia 17 września 2024 r.</dc:title>
  <dc:subject>w sprawie ustalenia procedury dokonywania wewnętrznych zgłoszeń naruszeń prawa i^podejmowania działań następczych w^Starostwie Powiatowym w^Lęborku</dc:subject>
  <dc:creator>z.plotka</dc:creator>
  <cp:lastModifiedBy>AI</cp:lastModifiedBy>
  <cp:revision>2</cp:revision>
  <dcterms:created xsi:type="dcterms:W3CDTF">2024-09-17T07:41:00Z</dcterms:created>
  <dcterms:modified xsi:type="dcterms:W3CDTF">2024-09-17T07:41:00Z</dcterms:modified>
  <cp:category>Akt prawny</cp:category>
</cp:coreProperties>
</file>