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AC6" w:rsidRDefault="004676C2" w:rsidP="004676C2">
      <w:pPr>
        <w:tabs>
          <w:tab w:val="right" w:pos="9972"/>
        </w:tabs>
        <w:rPr>
          <w:rFonts w:ascii="Cambria" w:hAnsi="Cambria" w:cs="Cambria"/>
          <w:bCs/>
          <w:i/>
        </w:rPr>
      </w:pPr>
      <w:r w:rsidRPr="004676C2">
        <w:rPr>
          <w:rFonts w:ascii="Cambria" w:hAnsi="Cambria" w:cs="Cambria"/>
          <w:b/>
          <w:bCs/>
          <w:i/>
        </w:rPr>
        <w:t>PO.272.1.7.2018</w:t>
      </w:r>
      <w:r>
        <w:rPr>
          <w:rFonts w:ascii="Cambria" w:hAnsi="Cambria" w:cs="Cambria"/>
          <w:bCs/>
          <w:i/>
        </w:rPr>
        <w:tab/>
      </w:r>
      <w:r w:rsidR="009E0AC6" w:rsidRPr="009E0AC6">
        <w:rPr>
          <w:rFonts w:ascii="Cambria" w:hAnsi="Cambria" w:cs="Cambria"/>
          <w:bCs/>
          <w:i/>
        </w:rPr>
        <w:t>Załącznik nr 1</w:t>
      </w:r>
      <w:r w:rsidR="009B29A7">
        <w:rPr>
          <w:rFonts w:ascii="Cambria" w:hAnsi="Cambria" w:cs="Cambria"/>
          <w:bCs/>
          <w:i/>
        </w:rPr>
        <w:t xml:space="preserve"> do SIWZ</w:t>
      </w:r>
    </w:p>
    <w:p w:rsidR="009E0AC6" w:rsidRPr="00570A39" w:rsidRDefault="009E0AC6" w:rsidP="009E0AC6">
      <w:pPr>
        <w:jc w:val="right"/>
        <w:rPr>
          <w:rFonts w:ascii="Cambria" w:hAnsi="Cambria" w:cs="Cambria"/>
          <w:bCs/>
          <w:i/>
          <w:sz w:val="28"/>
        </w:rPr>
      </w:pPr>
    </w:p>
    <w:p w:rsidR="00821CBB" w:rsidRPr="00570A39" w:rsidRDefault="00570A39" w:rsidP="00821CBB">
      <w:pPr>
        <w:jc w:val="center"/>
        <w:rPr>
          <w:rFonts w:ascii="Cambria" w:hAnsi="Cambria" w:cs="Cambria"/>
          <w:b/>
          <w:bCs/>
          <w:sz w:val="28"/>
        </w:rPr>
      </w:pPr>
      <w:r w:rsidRPr="00570A39">
        <w:rPr>
          <w:rFonts w:ascii="Cambria" w:hAnsi="Cambria" w:cs="Cambria"/>
          <w:b/>
          <w:bCs/>
          <w:sz w:val="28"/>
        </w:rPr>
        <w:t>SZCZEGÓŁOWY OPIS PRZEDMIOTU ZAMÓWIENIA</w:t>
      </w:r>
    </w:p>
    <w:p w:rsidR="009E0AC6" w:rsidRDefault="009E0AC6" w:rsidP="00821CBB">
      <w:pPr>
        <w:jc w:val="center"/>
        <w:rPr>
          <w:rFonts w:ascii="Cambria" w:hAnsi="Cambria" w:cs="Cambria"/>
          <w:b/>
          <w:bCs/>
        </w:rPr>
      </w:pPr>
    </w:p>
    <w:p w:rsidR="009E0AC6" w:rsidRPr="000A68C6" w:rsidRDefault="009E0AC6" w:rsidP="009E0AC6">
      <w:pPr>
        <w:spacing w:line="276" w:lineRule="auto"/>
        <w:jc w:val="both"/>
        <w:rPr>
          <w:rFonts w:ascii="Cambria" w:eastAsia="Calibri" w:hAnsi="Cambria"/>
          <w:sz w:val="20"/>
          <w:szCs w:val="20"/>
          <w:lang w:eastAsia="en-US"/>
        </w:rPr>
      </w:pPr>
      <w:r w:rsidRPr="000A68C6">
        <w:rPr>
          <w:rFonts w:ascii="Cambria" w:eastAsia="Calibri" w:hAnsi="Cambria"/>
          <w:sz w:val="20"/>
          <w:szCs w:val="22"/>
          <w:lang w:eastAsia="en-US"/>
        </w:rPr>
        <w:t xml:space="preserve">Przedmiotem zamówienia jest </w:t>
      </w:r>
      <w:r w:rsidRPr="000A68C6">
        <w:rPr>
          <w:rFonts w:ascii="Cambria" w:eastAsia="Calibri" w:hAnsi="Cambria"/>
          <w:sz w:val="20"/>
          <w:szCs w:val="20"/>
          <w:lang w:eastAsia="en-US"/>
        </w:rPr>
        <w:t xml:space="preserve">dostawa </w:t>
      </w:r>
      <w:r w:rsidR="003E6233">
        <w:rPr>
          <w:rFonts w:ascii="Cambria" w:eastAsia="Calibri" w:hAnsi="Cambria"/>
          <w:sz w:val="20"/>
          <w:szCs w:val="20"/>
          <w:lang w:eastAsia="en-US"/>
        </w:rPr>
        <w:t>mebli</w:t>
      </w:r>
      <w:r w:rsidR="009C4969">
        <w:rPr>
          <w:rFonts w:ascii="Cambria" w:eastAsia="Calibri" w:hAnsi="Cambria"/>
          <w:sz w:val="20"/>
          <w:szCs w:val="20"/>
          <w:lang w:eastAsia="en-US"/>
        </w:rPr>
        <w:t xml:space="preserve"> do Zespołu Szkół Mechaniczno-Informatycznych w Lębork</w:t>
      </w:r>
      <w:r w:rsidRPr="000A68C6">
        <w:rPr>
          <w:rFonts w:ascii="Cambria" w:eastAsia="Calibri" w:hAnsi="Cambria"/>
          <w:sz w:val="20"/>
          <w:szCs w:val="20"/>
          <w:lang w:eastAsia="en-US"/>
        </w:rPr>
        <w:t xml:space="preserve"> w ramach </w:t>
      </w:r>
      <w:r>
        <w:rPr>
          <w:rFonts w:ascii="Cambria" w:eastAsia="Calibri" w:hAnsi="Cambria"/>
          <w:sz w:val="20"/>
          <w:szCs w:val="20"/>
          <w:lang w:eastAsia="en-US"/>
        </w:rPr>
        <w:t>projektu „</w:t>
      </w:r>
      <w:r w:rsidRPr="00476AFB">
        <w:rPr>
          <w:rFonts w:ascii="Cambria" w:eastAsia="Calibri" w:hAnsi="Cambria"/>
          <w:sz w:val="20"/>
          <w:szCs w:val="20"/>
          <w:lang w:eastAsia="en-US"/>
        </w:rPr>
        <w:t>Zawodowcy na topie – podniesienie jakości szkolnictwa zawodowego w powiecie lęborskim poprzez przebudowę, modernizację  infrastruktury szkół zawodowych w Lęborku, ich wyposażenie  i doposażenie oraz kształcenie ustawiczne</w:t>
      </w:r>
      <w:r w:rsidRPr="000A68C6">
        <w:rPr>
          <w:rFonts w:ascii="Cambria" w:eastAsia="Calibri" w:hAnsi="Cambria"/>
          <w:sz w:val="20"/>
          <w:szCs w:val="20"/>
          <w:lang w:eastAsia="en-US"/>
        </w:rPr>
        <w:t xml:space="preserve">” współfinansowanego ze środków Europejskiego Funduszu </w:t>
      </w:r>
      <w:r>
        <w:rPr>
          <w:rFonts w:ascii="Cambria" w:eastAsia="Calibri" w:hAnsi="Cambria"/>
          <w:sz w:val="20"/>
          <w:szCs w:val="20"/>
          <w:lang w:eastAsia="en-US"/>
        </w:rPr>
        <w:t>Rozwoju Regionalnego</w:t>
      </w:r>
      <w:r w:rsidRPr="000A68C6">
        <w:rPr>
          <w:rFonts w:ascii="Cambria" w:eastAsia="Calibri" w:hAnsi="Cambria"/>
          <w:sz w:val="20"/>
          <w:szCs w:val="20"/>
          <w:lang w:eastAsia="en-US"/>
        </w:rPr>
        <w:t xml:space="preserve"> w ramach </w:t>
      </w:r>
      <w:r w:rsidRPr="000A68C6">
        <w:rPr>
          <w:rFonts w:ascii="Cambria" w:eastAsia="Calibri" w:hAnsi="Cambria"/>
          <w:sz w:val="20"/>
          <w:szCs w:val="22"/>
          <w:lang w:eastAsia="en-US"/>
        </w:rPr>
        <w:t>Regionalnego Programu Operacyjnego Województwa Pomorskiego na lata 2014-2020 (Oś Pri</w:t>
      </w:r>
      <w:r>
        <w:rPr>
          <w:rFonts w:ascii="Cambria" w:eastAsia="Calibri" w:hAnsi="Cambria"/>
          <w:sz w:val="20"/>
          <w:szCs w:val="22"/>
          <w:lang w:eastAsia="en-US"/>
        </w:rPr>
        <w:t xml:space="preserve">orytetowa </w:t>
      </w:r>
      <w:r w:rsidRPr="000A68C6">
        <w:rPr>
          <w:rFonts w:ascii="Cambria" w:eastAsia="Calibri" w:hAnsi="Cambria"/>
          <w:sz w:val="20"/>
          <w:szCs w:val="22"/>
          <w:lang w:eastAsia="en-US"/>
        </w:rPr>
        <w:t>I</w:t>
      </w:r>
      <w:r>
        <w:rPr>
          <w:rFonts w:ascii="Cambria" w:eastAsia="Calibri" w:hAnsi="Cambria"/>
          <w:sz w:val="20"/>
          <w:szCs w:val="22"/>
          <w:lang w:eastAsia="en-US"/>
        </w:rPr>
        <w:t>V</w:t>
      </w:r>
      <w:r w:rsidRPr="000A68C6">
        <w:rPr>
          <w:rFonts w:ascii="Cambria" w:eastAsia="Calibri" w:hAnsi="Cambria"/>
          <w:sz w:val="20"/>
          <w:szCs w:val="22"/>
          <w:lang w:eastAsia="en-US"/>
        </w:rPr>
        <w:t xml:space="preserve"> </w:t>
      </w:r>
      <w:r>
        <w:rPr>
          <w:rFonts w:ascii="Cambria" w:eastAsia="Calibri" w:hAnsi="Cambria"/>
          <w:sz w:val="20"/>
          <w:szCs w:val="22"/>
          <w:lang w:eastAsia="en-US"/>
        </w:rPr>
        <w:t>Kształcenie Zawodowe, Działanie 4.1</w:t>
      </w:r>
      <w:r w:rsidRPr="000A68C6">
        <w:rPr>
          <w:rFonts w:ascii="Cambria" w:eastAsia="Calibri" w:hAnsi="Cambria"/>
          <w:sz w:val="20"/>
          <w:szCs w:val="22"/>
          <w:lang w:eastAsia="en-US"/>
        </w:rPr>
        <w:t xml:space="preserve"> </w:t>
      </w:r>
      <w:r>
        <w:rPr>
          <w:rFonts w:ascii="Cambria" w:eastAsia="Calibri" w:hAnsi="Cambria"/>
          <w:sz w:val="20"/>
          <w:szCs w:val="22"/>
          <w:lang w:eastAsia="en-US"/>
        </w:rPr>
        <w:t>Infrastruktura ponadgimnazjalnych szkół zawodowych)</w:t>
      </w:r>
      <w:r w:rsidRPr="000A68C6">
        <w:rPr>
          <w:rFonts w:ascii="Cambria" w:eastAsia="Calibri" w:hAnsi="Cambria"/>
          <w:sz w:val="20"/>
          <w:szCs w:val="22"/>
          <w:lang w:eastAsia="en-US"/>
        </w:rPr>
        <w:t xml:space="preserve"> </w:t>
      </w:r>
    </w:p>
    <w:p w:rsidR="009E0AC6" w:rsidRDefault="009E0AC6" w:rsidP="009E0AC6">
      <w:pPr>
        <w:spacing w:line="276" w:lineRule="auto"/>
        <w:jc w:val="both"/>
        <w:rPr>
          <w:rFonts w:ascii="Cambria" w:eastAsia="Calibri" w:hAnsi="Cambria"/>
          <w:b/>
          <w:sz w:val="22"/>
          <w:szCs w:val="22"/>
          <w:lang w:eastAsia="en-US"/>
        </w:rPr>
      </w:pPr>
    </w:p>
    <w:p w:rsidR="009E0AC6" w:rsidRPr="00D27C39" w:rsidRDefault="009E0AC6" w:rsidP="009E0AC6">
      <w:pPr>
        <w:jc w:val="both"/>
        <w:rPr>
          <w:rFonts w:ascii="Cambria" w:hAnsi="Cambria"/>
          <w:b/>
          <w:sz w:val="20"/>
          <w:szCs w:val="20"/>
          <w:lang w:eastAsia="en-US"/>
        </w:rPr>
      </w:pPr>
      <w:r w:rsidRPr="00D27C39">
        <w:rPr>
          <w:rFonts w:ascii="Cambria" w:hAnsi="Cambria"/>
          <w:b/>
          <w:sz w:val="20"/>
          <w:szCs w:val="20"/>
          <w:lang w:eastAsia="en-US"/>
        </w:rPr>
        <w:t xml:space="preserve">Przedmiot zamówienia został podzielony na </w:t>
      </w:r>
      <w:r w:rsidR="003E6233">
        <w:rPr>
          <w:rFonts w:ascii="Cambria" w:hAnsi="Cambria"/>
          <w:b/>
          <w:sz w:val="20"/>
          <w:szCs w:val="20"/>
          <w:lang w:eastAsia="en-US"/>
        </w:rPr>
        <w:t>2</w:t>
      </w:r>
      <w:r w:rsidRPr="00D27C39">
        <w:rPr>
          <w:rFonts w:ascii="Cambria" w:hAnsi="Cambria"/>
          <w:b/>
          <w:sz w:val="20"/>
          <w:szCs w:val="20"/>
          <w:lang w:eastAsia="en-US"/>
        </w:rPr>
        <w:t xml:space="preserve"> części:</w:t>
      </w:r>
    </w:p>
    <w:p w:rsidR="002832B3" w:rsidRDefault="00946D8F" w:rsidP="002832B3">
      <w:pPr>
        <w:jc w:val="both"/>
        <w:rPr>
          <w:rFonts w:ascii="Cambria" w:eastAsia="Calibri" w:hAnsi="Cambria"/>
          <w:b/>
          <w:sz w:val="20"/>
          <w:szCs w:val="20"/>
          <w:lang w:eastAsia="en-US"/>
        </w:rPr>
      </w:pPr>
      <w:bookmarkStart w:id="0" w:name="_Hlk506293920"/>
      <w:r w:rsidRPr="00D27C39">
        <w:rPr>
          <w:rFonts w:ascii="Cambria" w:hAnsi="Cambria"/>
          <w:b/>
          <w:sz w:val="20"/>
          <w:szCs w:val="20"/>
          <w:lang w:eastAsia="en-US"/>
        </w:rPr>
        <w:t xml:space="preserve">Część </w:t>
      </w:r>
      <w:r>
        <w:rPr>
          <w:rFonts w:ascii="Cambria" w:hAnsi="Cambria"/>
          <w:b/>
          <w:sz w:val="20"/>
          <w:szCs w:val="20"/>
          <w:lang w:eastAsia="en-US"/>
        </w:rPr>
        <w:t>1</w:t>
      </w:r>
      <w:r w:rsidRPr="00D27C39">
        <w:rPr>
          <w:rFonts w:ascii="Cambria" w:hAnsi="Cambria"/>
          <w:b/>
          <w:sz w:val="20"/>
          <w:szCs w:val="20"/>
          <w:lang w:eastAsia="en-US"/>
        </w:rPr>
        <w:t xml:space="preserve"> - </w:t>
      </w:r>
      <w:r w:rsidR="002832B3" w:rsidRPr="002832B3">
        <w:rPr>
          <w:rFonts w:ascii="Cambria" w:eastAsia="Calibri" w:hAnsi="Cambria"/>
          <w:b/>
          <w:sz w:val="20"/>
          <w:szCs w:val="20"/>
          <w:lang w:eastAsia="en-US"/>
        </w:rPr>
        <w:t xml:space="preserve">Dostawa mebli do pracowni sieci komputerowej </w:t>
      </w:r>
    </w:p>
    <w:p w:rsidR="006840E0" w:rsidRDefault="003E6233" w:rsidP="002832B3">
      <w:pPr>
        <w:jc w:val="both"/>
        <w:rPr>
          <w:rFonts w:ascii="Cambria" w:eastAsia="Calibri" w:hAnsi="Cambria"/>
          <w:b/>
          <w:sz w:val="20"/>
          <w:szCs w:val="20"/>
          <w:lang w:eastAsia="en-US"/>
        </w:rPr>
      </w:pPr>
      <w:r>
        <w:rPr>
          <w:rFonts w:ascii="Cambria" w:hAnsi="Cambria"/>
          <w:b/>
          <w:sz w:val="20"/>
          <w:szCs w:val="20"/>
          <w:lang w:eastAsia="en-US"/>
        </w:rPr>
        <w:t>Część 2</w:t>
      </w:r>
      <w:r w:rsidR="00946D8F" w:rsidRPr="00D27C39">
        <w:rPr>
          <w:rFonts w:ascii="Cambria" w:hAnsi="Cambria"/>
          <w:b/>
          <w:sz w:val="20"/>
          <w:szCs w:val="20"/>
          <w:lang w:eastAsia="en-US"/>
        </w:rPr>
        <w:t xml:space="preserve"> - </w:t>
      </w:r>
      <w:r w:rsidR="002832B3" w:rsidRPr="002832B3">
        <w:rPr>
          <w:rFonts w:ascii="Cambria" w:eastAsia="Calibri" w:hAnsi="Cambria"/>
          <w:b/>
          <w:sz w:val="20"/>
          <w:szCs w:val="20"/>
          <w:lang w:eastAsia="en-US"/>
        </w:rPr>
        <w:t xml:space="preserve">Dostawa mebli do pracowni aplikacji internetowych i baz danych </w:t>
      </w:r>
    </w:p>
    <w:p w:rsidR="002832B3" w:rsidRPr="00D8191D" w:rsidRDefault="002832B3" w:rsidP="002832B3">
      <w:pPr>
        <w:jc w:val="both"/>
        <w:rPr>
          <w:rFonts w:ascii="Cambria" w:hAnsi="Cambria" w:cs="Cambria"/>
          <w:b/>
          <w:bCs/>
          <w:sz w:val="20"/>
          <w:szCs w:val="20"/>
        </w:rPr>
      </w:pPr>
    </w:p>
    <w:bookmarkEnd w:id="0"/>
    <w:p w:rsidR="006840E0" w:rsidRPr="00C74C5E" w:rsidRDefault="006840E0" w:rsidP="006840E0">
      <w:pPr>
        <w:jc w:val="both"/>
        <w:rPr>
          <w:rFonts w:ascii="Cambria" w:hAnsi="Cambria" w:cs="Cambria"/>
          <w:bCs/>
          <w:sz w:val="20"/>
          <w:szCs w:val="20"/>
        </w:rPr>
      </w:pPr>
      <w:r w:rsidRPr="00C74C5E">
        <w:rPr>
          <w:rFonts w:ascii="Cambria" w:hAnsi="Cambria" w:cs="Cambria"/>
          <w:bCs/>
          <w:sz w:val="20"/>
          <w:szCs w:val="20"/>
        </w:rPr>
        <w:t>Adres dostawy: Zespół Szkół Mechaniczno-Informatycznych w Lęborku, ul. Marcinkowskiego 1, 84-300 Lębork</w:t>
      </w:r>
    </w:p>
    <w:p w:rsidR="00831601" w:rsidRDefault="00831601" w:rsidP="009E0AC6">
      <w:pPr>
        <w:spacing w:line="276" w:lineRule="auto"/>
        <w:jc w:val="both"/>
        <w:rPr>
          <w:rFonts w:ascii="Cambria" w:eastAsia="Calibri" w:hAnsi="Cambria"/>
          <w:b/>
          <w:sz w:val="20"/>
          <w:szCs w:val="20"/>
          <w:lang w:eastAsia="en-US"/>
        </w:rPr>
      </w:pPr>
    </w:p>
    <w:p w:rsidR="00831601" w:rsidRDefault="00831601" w:rsidP="00831601">
      <w:pPr>
        <w:spacing w:line="276" w:lineRule="auto"/>
        <w:jc w:val="both"/>
        <w:rPr>
          <w:rFonts w:ascii="Cambria" w:hAnsi="Cambria"/>
          <w:sz w:val="20"/>
          <w:szCs w:val="20"/>
          <w:lang w:eastAsia="en-US"/>
        </w:rPr>
      </w:pPr>
      <w:r w:rsidRPr="00C74C5E">
        <w:rPr>
          <w:rFonts w:ascii="Cambria" w:hAnsi="Cambria"/>
          <w:sz w:val="20"/>
          <w:szCs w:val="20"/>
          <w:lang w:eastAsia="en-US"/>
        </w:rPr>
        <w:t>Wyposażenie stanowiące przedmiot zamówienia musi być profesjonalne i fabrycznie nowe, należytej jakości, sprawne, wolne od jakichkolwiek wad fizycznych, jak również od jakichkolwiek wad prawnych i roszczeń osób trzecich, nie używane, nie powystawowe. Pod</w:t>
      </w:r>
      <w:r w:rsidRPr="00D27C39">
        <w:rPr>
          <w:rFonts w:ascii="Cambria" w:hAnsi="Cambria"/>
          <w:sz w:val="20"/>
          <w:szCs w:val="20"/>
          <w:lang w:eastAsia="en-US"/>
        </w:rPr>
        <w:t xml:space="preserve"> pojęciem fabrycznie nowy Zamawiający rozumie produkty wykonane z nowych ele</w:t>
      </w:r>
      <w:r>
        <w:rPr>
          <w:rFonts w:ascii="Cambria" w:hAnsi="Cambria"/>
          <w:sz w:val="20"/>
          <w:szCs w:val="20"/>
          <w:lang w:eastAsia="en-US"/>
        </w:rPr>
        <w:t>mentów, bez śladu uszkodzenia.</w:t>
      </w:r>
      <w:r w:rsidRPr="00D27C39">
        <w:rPr>
          <w:rFonts w:ascii="Cambria" w:hAnsi="Cambria"/>
          <w:sz w:val="20"/>
          <w:szCs w:val="20"/>
          <w:lang w:eastAsia="en-US"/>
        </w:rPr>
        <w:t xml:space="preserve"> </w:t>
      </w:r>
    </w:p>
    <w:p w:rsidR="009F7296" w:rsidRDefault="009F7296" w:rsidP="009F7296">
      <w:pPr>
        <w:pStyle w:val="Tekstpodstawowywcity2"/>
        <w:tabs>
          <w:tab w:val="left" w:pos="0"/>
        </w:tabs>
        <w:spacing w:after="0" w:line="276" w:lineRule="auto"/>
        <w:ind w:left="0"/>
        <w:jc w:val="both"/>
        <w:rPr>
          <w:rFonts w:ascii="Cambria" w:hAnsi="Cambria" w:cs="Tahoma"/>
          <w:kern w:val="3"/>
          <w:sz w:val="20"/>
          <w:szCs w:val="20"/>
        </w:rPr>
      </w:pPr>
    </w:p>
    <w:p w:rsidR="009F7296" w:rsidRPr="00D27C39" w:rsidRDefault="009F7296" w:rsidP="009F7296">
      <w:pPr>
        <w:pStyle w:val="Tekstpodstawowywcity2"/>
        <w:tabs>
          <w:tab w:val="left" w:pos="0"/>
        </w:tabs>
        <w:spacing w:after="0" w:line="276" w:lineRule="auto"/>
        <w:ind w:left="0"/>
        <w:jc w:val="both"/>
        <w:rPr>
          <w:rFonts w:asciiTheme="majorHAnsi" w:hAnsiTheme="majorHAnsi"/>
          <w:sz w:val="20"/>
          <w:szCs w:val="20"/>
        </w:rPr>
      </w:pPr>
      <w:r>
        <w:rPr>
          <w:rFonts w:ascii="Cambria" w:hAnsi="Cambria" w:cs="Tahoma"/>
          <w:kern w:val="3"/>
          <w:sz w:val="20"/>
          <w:szCs w:val="20"/>
        </w:rPr>
        <w:t>W</w:t>
      </w:r>
      <w:r w:rsidRPr="00C839C0">
        <w:rPr>
          <w:rFonts w:ascii="Cambria" w:hAnsi="Cambria" w:cs="Tahoma"/>
          <w:kern w:val="3"/>
          <w:sz w:val="20"/>
          <w:szCs w:val="20"/>
        </w:rPr>
        <w:t xml:space="preserve">yposażenie musi mieć możliwość dostosowania do pracy dla osób niepełnosprawnych. </w:t>
      </w:r>
    </w:p>
    <w:p w:rsidR="00831601" w:rsidRPr="00D27C39" w:rsidRDefault="00831601" w:rsidP="00831601">
      <w:pPr>
        <w:spacing w:line="276" w:lineRule="auto"/>
        <w:jc w:val="both"/>
        <w:rPr>
          <w:rFonts w:ascii="Cambria" w:hAnsi="Cambria"/>
          <w:sz w:val="20"/>
          <w:szCs w:val="20"/>
          <w:lang w:eastAsia="en-US"/>
        </w:rPr>
      </w:pPr>
    </w:p>
    <w:p w:rsidR="00BD61C6" w:rsidRDefault="00831601" w:rsidP="00BD61C6">
      <w:pPr>
        <w:pStyle w:val="Tekstpodstawowywcity2"/>
        <w:tabs>
          <w:tab w:val="left" w:pos="0"/>
        </w:tabs>
        <w:spacing w:after="0" w:line="276" w:lineRule="auto"/>
        <w:ind w:left="0"/>
        <w:jc w:val="both"/>
        <w:rPr>
          <w:rFonts w:ascii="Cambria" w:hAnsi="Cambria" w:cs="Tahoma"/>
          <w:kern w:val="3"/>
          <w:sz w:val="20"/>
          <w:szCs w:val="20"/>
        </w:rPr>
      </w:pPr>
      <w:r w:rsidRPr="00C839C0">
        <w:rPr>
          <w:rFonts w:ascii="Cambria" w:hAnsi="Cambria" w:cs="Tahoma"/>
          <w:kern w:val="3"/>
          <w:sz w:val="20"/>
          <w:szCs w:val="20"/>
        </w:rPr>
        <w:t xml:space="preserve">Dostarczony produkt musi zawierać wszystkie części niezbędne do </w:t>
      </w:r>
      <w:r w:rsidRPr="00344AED">
        <w:rPr>
          <w:rFonts w:ascii="Cambria" w:hAnsi="Cambria" w:cs="Tahoma"/>
          <w:kern w:val="3"/>
          <w:sz w:val="20"/>
          <w:szCs w:val="20"/>
        </w:rPr>
        <w:t>funkcjonowania i montażu.</w:t>
      </w:r>
      <w:r w:rsidR="009F7296" w:rsidRPr="00344AED">
        <w:rPr>
          <w:rFonts w:ascii="Cambria" w:hAnsi="Cambria" w:cs="Tahoma"/>
          <w:kern w:val="3"/>
          <w:sz w:val="20"/>
          <w:szCs w:val="20"/>
        </w:rPr>
        <w:t xml:space="preserve"> </w:t>
      </w:r>
      <w:r w:rsidRPr="00344AED">
        <w:rPr>
          <w:rFonts w:ascii="Cambria" w:hAnsi="Cambria" w:cs="Tahoma"/>
          <w:kern w:val="3"/>
          <w:sz w:val="20"/>
          <w:szCs w:val="20"/>
        </w:rPr>
        <w:t xml:space="preserve">Dostarczone </w:t>
      </w:r>
      <w:r w:rsidR="009F7296" w:rsidRPr="00344AED">
        <w:rPr>
          <w:rFonts w:ascii="Cambria" w:hAnsi="Cambria" w:cs="Tahoma"/>
          <w:kern w:val="3"/>
          <w:sz w:val="20"/>
          <w:szCs w:val="20"/>
        </w:rPr>
        <w:t>umeblowanie</w:t>
      </w:r>
      <w:r w:rsidRPr="00344AED">
        <w:rPr>
          <w:rFonts w:ascii="Cambria" w:hAnsi="Cambria" w:cs="Tahoma"/>
          <w:kern w:val="3"/>
          <w:sz w:val="20"/>
          <w:szCs w:val="20"/>
        </w:rPr>
        <w:t xml:space="preserve"> musi być zgodne z</w:t>
      </w:r>
      <w:r w:rsidR="009F7296" w:rsidRPr="00344AED">
        <w:rPr>
          <w:rFonts w:ascii="Cambria" w:hAnsi="Cambria" w:cs="Tahoma"/>
          <w:kern w:val="3"/>
          <w:sz w:val="20"/>
          <w:szCs w:val="20"/>
        </w:rPr>
        <w:t xml:space="preserve"> zasadami wiedzy technicznej,</w:t>
      </w:r>
      <w:r w:rsidRPr="00344AED">
        <w:rPr>
          <w:rFonts w:ascii="Cambria" w:hAnsi="Cambria" w:cs="Tahoma"/>
          <w:kern w:val="3"/>
          <w:sz w:val="20"/>
          <w:szCs w:val="20"/>
        </w:rPr>
        <w:t xml:space="preserve"> obowiązującymi normami i posiadać wymagane </w:t>
      </w:r>
      <w:r w:rsidRPr="00C839C0">
        <w:rPr>
          <w:rFonts w:ascii="Cambria" w:hAnsi="Cambria" w:cs="Tahoma"/>
          <w:kern w:val="3"/>
          <w:sz w:val="20"/>
          <w:szCs w:val="20"/>
        </w:rPr>
        <w:t>atesty, certyfikaty, aprobaty techniczne, deklaracje zgodności wbudowanych materiałów, świadectwa bezpieczeństwa, homologacje</w:t>
      </w:r>
      <w:r w:rsidR="00A05676">
        <w:rPr>
          <w:rFonts w:ascii="Cambria" w:hAnsi="Cambria" w:cs="Tahoma"/>
          <w:kern w:val="3"/>
          <w:sz w:val="20"/>
          <w:szCs w:val="20"/>
        </w:rPr>
        <w:t xml:space="preserve"> itp.</w:t>
      </w:r>
      <w:r w:rsidRPr="00C839C0">
        <w:rPr>
          <w:rFonts w:ascii="Cambria" w:hAnsi="Cambria" w:cs="Tahoma"/>
          <w:kern w:val="3"/>
          <w:sz w:val="20"/>
          <w:szCs w:val="20"/>
        </w:rPr>
        <w:t xml:space="preserve"> </w:t>
      </w:r>
    </w:p>
    <w:p w:rsidR="00831601" w:rsidRDefault="00831601" w:rsidP="00831601">
      <w:pPr>
        <w:pStyle w:val="Tekstpodstawowywcity2"/>
        <w:tabs>
          <w:tab w:val="left" w:pos="0"/>
        </w:tabs>
        <w:spacing w:after="0" w:line="240" w:lineRule="auto"/>
        <w:ind w:left="0"/>
        <w:jc w:val="both"/>
        <w:rPr>
          <w:rFonts w:asciiTheme="majorHAnsi" w:hAnsiTheme="majorHAnsi"/>
          <w:sz w:val="20"/>
          <w:szCs w:val="20"/>
        </w:rPr>
      </w:pPr>
    </w:p>
    <w:p w:rsidR="00831601" w:rsidRPr="00D27C39" w:rsidRDefault="00831601" w:rsidP="00831601">
      <w:pPr>
        <w:jc w:val="both"/>
        <w:rPr>
          <w:rFonts w:ascii="Cambria" w:hAnsi="Cambria"/>
          <w:b/>
          <w:sz w:val="20"/>
          <w:szCs w:val="20"/>
          <w:lang w:eastAsia="en-US"/>
        </w:rPr>
      </w:pPr>
      <w:r w:rsidRPr="00385C09">
        <w:rPr>
          <w:rFonts w:ascii="Cambria" w:hAnsi="Cambria" w:cs="Calibri"/>
          <w:b/>
          <w:sz w:val="20"/>
          <w:szCs w:val="20"/>
          <w:lang w:eastAsia="en-US"/>
        </w:rPr>
        <w:t>Oferowany przez Wykonawcę sprzęt musi zapewniać racjonalne i efektywne ceny, niezawyżone w stosunku do cen i</w:t>
      </w:r>
      <w:r w:rsidR="006840E0">
        <w:rPr>
          <w:rFonts w:ascii="Cambria" w:hAnsi="Cambria" w:cs="Calibri"/>
          <w:b/>
          <w:sz w:val="20"/>
          <w:szCs w:val="20"/>
          <w:lang w:eastAsia="en-US"/>
        </w:rPr>
        <w:t xml:space="preserve"> </w:t>
      </w:r>
      <w:r w:rsidRPr="00385C09">
        <w:rPr>
          <w:rFonts w:ascii="Cambria" w:hAnsi="Cambria" w:cs="Calibri"/>
          <w:b/>
          <w:sz w:val="20"/>
          <w:szCs w:val="20"/>
          <w:lang w:eastAsia="en-US"/>
        </w:rPr>
        <w:t>stawek rynkowych</w:t>
      </w:r>
      <w:r>
        <w:rPr>
          <w:rFonts w:ascii="Cambria" w:hAnsi="Cambria" w:cs="Calibri"/>
          <w:b/>
          <w:sz w:val="20"/>
          <w:szCs w:val="20"/>
          <w:lang w:eastAsia="en-US"/>
        </w:rPr>
        <w:t>.</w:t>
      </w:r>
      <w:r>
        <w:rPr>
          <w:rFonts w:ascii="Cambria" w:hAnsi="Cambria"/>
          <w:sz w:val="20"/>
          <w:szCs w:val="20"/>
          <w:lang w:eastAsia="en-US"/>
        </w:rPr>
        <w:t xml:space="preserve"> </w:t>
      </w:r>
    </w:p>
    <w:p w:rsidR="00831601" w:rsidRDefault="00831601" w:rsidP="00831601">
      <w:pPr>
        <w:pStyle w:val="Tekstpodstawowywcity2"/>
        <w:tabs>
          <w:tab w:val="left" w:pos="0"/>
        </w:tabs>
        <w:spacing w:after="0" w:line="240" w:lineRule="auto"/>
        <w:ind w:left="0"/>
        <w:jc w:val="both"/>
        <w:rPr>
          <w:rFonts w:asciiTheme="majorHAnsi" w:hAnsiTheme="majorHAnsi"/>
          <w:b/>
          <w:sz w:val="20"/>
          <w:szCs w:val="20"/>
        </w:rPr>
      </w:pPr>
    </w:p>
    <w:p w:rsidR="00831601" w:rsidRPr="00D27C39" w:rsidRDefault="00831601" w:rsidP="00831601">
      <w:pPr>
        <w:pStyle w:val="Tekstpodstawowywcity2"/>
        <w:tabs>
          <w:tab w:val="left" w:pos="0"/>
        </w:tabs>
        <w:spacing w:after="0" w:line="240" w:lineRule="auto"/>
        <w:ind w:left="0"/>
        <w:jc w:val="both"/>
        <w:rPr>
          <w:rFonts w:asciiTheme="majorHAnsi" w:hAnsiTheme="majorHAnsi"/>
          <w:b/>
          <w:sz w:val="20"/>
          <w:szCs w:val="20"/>
        </w:rPr>
      </w:pPr>
      <w:r w:rsidRPr="00D27C39">
        <w:rPr>
          <w:rFonts w:asciiTheme="majorHAnsi" w:hAnsiTheme="majorHAnsi"/>
          <w:b/>
          <w:sz w:val="20"/>
          <w:szCs w:val="20"/>
        </w:rPr>
        <w:t>Wymagania dotyczące sposobu realizacji zamówienia:</w:t>
      </w:r>
    </w:p>
    <w:p w:rsidR="00831601" w:rsidRDefault="00831601" w:rsidP="00831601">
      <w:pPr>
        <w:pStyle w:val="Tekstpodstawowywcity2"/>
        <w:numPr>
          <w:ilvl w:val="0"/>
          <w:numId w:val="3"/>
        </w:numPr>
        <w:tabs>
          <w:tab w:val="left" w:pos="0"/>
        </w:tabs>
        <w:spacing w:after="0" w:line="240" w:lineRule="auto"/>
        <w:ind w:left="567"/>
        <w:jc w:val="both"/>
        <w:rPr>
          <w:rFonts w:asciiTheme="majorHAnsi" w:hAnsiTheme="majorHAnsi"/>
          <w:sz w:val="20"/>
          <w:szCs w:val="20"/>
        </w:rPr>
      </w:pPr>
      <w:r>
        <w:rPr>
          <w:rFonts w:asciiTheme="majorHAnsi" w:hAnsiTheme="majorHAnsi"/>
          <w:sz w:val="20"/>
          <w:szCs w:val="20"/>
        </w:rPr>
        <w:t>n</w:t>
      </w:r>
      <w:r w:rsidRPr="00D27C39">
        <w:rPr>
          <w:rFonts w:asciiTheme="majorHAnsi" w:hAnsiTheme="majorHAnsi"/>
          <w:sz w:val="20"/>
          <w:szCs w:val="20"/>
        </w:rPr>
        <w:t>ie przewiduje się możliwości wypłacania Wykonawcy zaliczki.</w:t>
      </w:r>
    </w:p>
    <w:p w:rsidR="00831601" w:rsidRPr="00D27C39" w:rsidRDefault="00831601" w:rsidP="00831601">
      <w:pPr>
        <w:pStyle w:val="Tekstpodstawowywcity2"/>
        <w:numPr>
          <w:ilvl w:val="0"/>
          <w:numId w:val="3"/>
        </w:numPr>
        <w:tabs>
          <w:tab w:val="left" w:pos="0"/>
        </w:tabs>
        <w:spacing w:after="0" w:line="240" w:lineRule="auto"/>
        <w:ind w:left="567"/>
        <w:jc w:val="both"/>
        <w:rPr>
          <w:rFonts w:asciiTheme="majorHAnsi" w:hAnsiTheme="majorHAnsi"/>
          <w:sz w:val="20"/>
          <w:szCs w:val="20"/>
        </w:rPr>
      </w:pPr>
      <w:r>
        <w:rPr>
          <w:rFonts w:asciiTheme="majorHAnsi" w:hAnsiTheme="majorHAnsi"/>
          <w:sz w:val="20"/>
          <w:szCs w:val="20"/>
        </w:rPr>
        <w:t>p</w:t>
      </w:r>
      <w:r w:rsidRPr="007B614B">
        <w:rPr>
          <w:rFonts w:asciiTheme="majorHAnsi" w:hAnsiTheme="majorHAnsi"/>
          <w:sz w:val="20"/>
          <w:szCs w:val="20"/>
        </w:rPr>
        <w:t xml:space="preserve">rzedmiot zamówienia należy dostarczyć </w:t>
      </w:r>
      <w:r>
        <w:rPr>
          <w:rFonts w:asciiTheme="majorHAnsi" w:hAnsiTheme="majorHAnsi"/>
          <w:sz w:val="20"/>
          <w:szCs w:val="20"/>
        </w:rPr>
        <w:t>pod wskazany adres, w określonym</w:t>
      </w:r>
      <w:r w:rsidRPr="007B614B">
        <w:rPr>
          <w:rFonts w:asciiTheme="majorHAnsi" w:hAnsiTheme="majorHAnsi"/>
          <w:sz w:val="20"/>
          <w:szCs w:val="20"/>
        </w:rPr>
        <w:t xml:space="preserve"> terminie wraz z wyładunkiem na własny koszt i ryzyko, własnymi siłami, w odliczonych ilościach</w:t>
      </w:r>
      <w:r>
        <w:rPr>
          <w:rFonts w:asciiTheme="majorHAnsi" w:hAnsiTheme="majorHAnsi"/>
          <w:sz w:val="20"/>
          <w:szCs w:val="20"/>
        </w:rPr>
        <w:t>, zgodnie z SIWZ</w:t>
      </w:r>
    </w:p>
    <w:p w:rsidR="00831601" w:rsidRPr="00D27C39" w:rsidRDefault="00831601" w:rsidP="00831601">
      <w:pPr>
        <w:pStyle w:val="Tekstpodstawowywcity2"/>
        <w:numPr>
          <w:ilvl w:val="0"/>
          <w:numId w:val="3"/>
        </w:numPr>
        <w:tabs>
          <w:tab w:val="left" w:pos="0"/>
        </w:tabs>
        <w:spacing w:after="0" w:line="240" w:lineRule="auto"/>
        <w:ind w:left="567"/>
        <w:jc w:val="both"/>
        <w:rPr>
          <w:rFonts w:asciiTheme="majorHAnsi" w:hAnsiTheme="majorHAnsi"/>
          <w:sz w:val="20"/>
          <w:szCs w:val="20"/>
        </w:rPr>
      </w:pPr>
      <w:r>
        <w:rPr>
          <w:rFonts w:asciiTheme="majorHAnsi" w:hAnsiTheme="majorHAnsi"/>
          <w:sz w:val="20"/>
          <w:szCs w:val="20"/>
        </w:rPr>
        <w:t>z</w:t>
      </w:r>
      <w:r w:rsidRPr="00D27C39">
        <w:rPr>
          <w:rFonts w:asciiTheme="majorHAnsi" w:hAnsiTheme="majorHAnsi"/>
          <w:sz w:val="20"/>
          <w:szCs w:val="20"/>
        </w:rPr>
        <w:t>amówienie obejmuje transport (na koszt i ryzyko Wykonawcy)</w:t>
      </w:r>
      <w:r>
        <w:rPr>
          <w:rFonts w:asciiTheme="majorHAnsi" w:hAnsiTheme="majorHAnsi"/>
          <w:sz w:val="20"/>
          <w:szCs w:val="20"/>
        </w:rPr>
        <w:t xml:space="preserve"> oraz </w:t>
      </w:r>
      <w:r w:rsidRPr="00D27C39">
        <w:rPr>
          <w:rFonts w:asciiTheme="majorHAnsi" w:hAnsiTheme="majorHAnsi"/>
          <w:sz w:val="20"/>
          <w:szCs w:val="20"/>
        </w:rPr>
        <w:t>montaż</w:t>
      </w:r>
      <w:r>
        <w:rPr>
          <w:rFonts w:asciiTheme="majorHAnsi" w:hAnsiTheme="majorHAnsi"/>
          <w:sz w:val="20"/>
          <w:szCs w:val="20"/>
        </w:rPr>
        <w:t xml:space="preserve"> wszystkich części we wskazanym przez przedstawiciela Dostawcy miejscu.</w:t>
      </w:r>
      <w:r w:rsidRPr="00D27C39">
        <w:rPr>
          <w:rFonts w:asciiTheme="majorHAnsi" w:hAnsiTheme="majorHAnsi"/>
          <w:sz w:val="20"/>
          <w:szCs w:val="20"/>
        </w:rPr>
        <w:t xml:space="preserve"> </w:t>
      </w:r>
    </w:p>
    <w:p w:rsidR="00831601" w:rsidRPr="00D27C39" w:rsidRDefault="00831601" w:rsidP="00831601">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D27C39">
        <w:rPr>
          <w:rFonts w:asciiTheme="majorHAnsi" w:hAnsiTheme="majorHAnsi"/>
          <w:sz w:val="20"/>
          <w:szCs w:val="20"/>
        </w:rPr>
        <w:t xml:space="preserve">jeśli dostarczone </w:t>
      </w:r>
      <w:r w:rsidR="009D3D81">
        <w:rPr>
          <w:rFonts w:asciiTheme="majorHAnsi" w:hAnsiTheme="majorHAnsi"/>
          <w:sz w:val="20"/>
          <w:szCs w:val="20"/>
        </w:rPr>
        <w:t>u</w:t>
      </w:r>
      <w:r w:rsidR="009D3D81" w:rsidRPr="00D27C39">
        <w:rPr>
          <w:rFonts w:asciiTheme="majorHAnsi" w:hAnsiTheme="majorHAnsi"/>
          <w:sz w:val="20"/>
          <w:szCs w:val="20"/>
        </w:rPr>
        <w:t>meblowanie</w:t>
      </w:r>
      <w:r w:rsidRPr="00D27C39">
        <w:rPr>
          <w:rFonts w:asciiTheme="majorHAnsi" w:hAnsiTheme="majorHAnsi"/>
          <w:sz w:val="20"/>
          <w:szCs w:val="20"/>
        </w:rPr>
        <w:t xml:space="preserve"> lub jego elementy są uszkodzone lub uległy</w:t>
      </w:r>
      <w:r>
        <w:rPr>
          <w:rFonts w:asciiTheme="majorHAnsi" w:hAnsiTheme="majorHAnsi"/>
          <w:sz w:val="20"/>
          <w:szCs w:val="20"/>
        </w:rPr>
        <w:t xml:space="preserve"> uszkodzeniu podczas transportu lub</w:t>
      </w:r>
      <w:r w:rsidRPr="00D27C39">
        <w:rPr>
          <w:rFonts w:asciiTheme="majorHAnsi" w:hAnsiTheme="majorHAnsi"/>
          <w:sz w:val="20"/>
          <w:szCs w:val="20"/>
        </w:rPr>
        <w:t xml:space="preserve"> montażu zostaną przez Wykonawcę wymienione na nowe lub naprawione przed zgłoszeniem zakończenia dostaw do odbioru.</w:t>
      </w:r>
    </w:p>
    <w:p w:rsidR="00831601" w:rsidRPr="00D27C39" w:rsidRDefault="00831601" w:rsidP="00831601">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D27C39">
        <w:rPr>
          <w:rFonts w:asciiTheme="majorHAnsi" w:hAnsiTheme="majorHAnsi"/>
          <w:sz w:val="20"/>
          <w:szCs w:val="20"/>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831601" w:rsidRPr="00344AED" w:rsidRDefault="00831601" w:rsidP="00831601">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D27C39">
        <w:rPr>
          <w:rFonts w:asciiTheme="majorHAnsi" w:hAnsiTheme="majorHAnsi"/>
          <w:sz w:val="20"/>
          <w:szCs w:val="20"/>
        </w:rPr>
        <w:t xml:space="preserve">Wykonawca </w:t>
      </w:r>
      <w:r>
        <w:rPr>
          <w:rFonts w:asciiTheme="majorHAnsi" w:hAnsiTheme="majorHAnsi"/>
          <w:sz w:val="20"/>
          <w:szCs w:val="20"/>
          <w:u w:val="single"/>
        </w:rPr>
        <w:t>do 14</w:t>
      </w:r>
      <w:r w:rsidRPr="00D27C39">
        <w:rPr>
          <w:rFonts w:asciiTheme="majorHAnsi" w:hAnsiTheme="majorHAnsi"/>
          <w:sz w:val="20"/>
          <w:szCs w:val="20"/>
          <w:u w:val="single"/>
        </w:rPr>
        <w:t xml:space="preserve"> dni od dnia podpisania umowy</w:t>
      </w:r>
      <w:r w:rsidRPr="00D27C39">
        <w:rPr>
          <w:rFonts w:asciiTheme="majorHAnsi" w:hAnsiTheme="majorHAnsi"/>
          <w:sz w:val="20"/>
          <w:szCs w:val="20"/>
        </w:rPr>
        <w:t xml:space="preserve"> przedstawi Zamawiającemu wstępny harmonogram dostawy z pod</w:t>
      </w:r>
      <w:r>
        <w:rPr>
          <w:rFonts w:asciiTheme="majorHAnsi" w:hAnsiTheme="majorHAnsi"/>
          <w:sz w:val="20"/>
          <w:szCs w:val="20"/>
        </w:rPr>
        <w:t xml:space="preserve">aniem terminu dostawy </w:t>
      </w:r>
      <w:r w:rsidRPr="00344AED">
        <w:rPr>
          <w:rFonts w:asciiTheme="majorHAnsi" w:hAnsiTheme="majorHAnsi"/>
          <w:sz w:val="20"/>
          <w:szCs w:val="20"/>
        </w:rPr>
        <w:t xml:space="preserve">i montażu. </w:t>
      </w:r>
    </w:p>
    <w:p w:rsidR="00831601" w:rsidRPr="00344AED" w:rsidRDefault="00831601" w:rsidP="00831601">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344AED">
        <w:rPr>
          <w:rFonts w:asciiTheme="majorHAnsi" w:hAnsiTheme="majorHAnsi"/>
          <w:sz w:val="20"/>
          <w:szCs w:val="20"/>
        </w:rPr>
        <w:t>Wykonawca jest odpowiedzialny za zabezpieczenie dostarczonego wyposażenia do czasu dokonania pisemnego odbioru końcowego /bez uwag/ potwierdzonego przez osoby odpowiedzialne ze strony Zamawiającego.</w:t>
      </w:r>
    </w:p>
    <w:p w:rsidR="00DB7BF1" w:rsidRPr="00344AED" w:rsidRDefault="00DB7BF1" w:rsidP="00DB7BF1">
      <w:pPr>
        <w:pStyle w:val="Tekstpodstawowywcity2"/>
        <w:numPr>
          <w:ilvl w:val="0"/>
          <w:numId w:val="3"/>
        </w:numPr>
        <w:tabs>
          <w:tab w:val="left" w:pos="0"/>
        </w:tabs>
        <w:spacing w:after="0" w:line="240" w:lineRule="auto"/>
        <w:ind w:left="567"/>
        <w:jc w:val="both"/>
        <w:rPr>
          <w:rFonts w:asciiTheme="majorHAnsi" w:hAnsiTheme="majorHAnsi"/>
          <w:sz w:val="20"/>
          <w:szCs w:val="20"/>
          <w:u w:val="single"/>
        </w:rPr>
      </w:pPr>
      <w:r w:rsidRPr="00344AED">
        <w:rPr>
          <w:rFonts w:asciiTheme="majorHAnsi" w:hAnsiTheme="majorHAnsi"/>
          <w:sz w:val="20"/>
          <w:szCs w:val="20"/>
          <w:u w:val="single"/>
        </w:rPr>
        <w:lastRenderedPageBreak/>
        <w:t xml:space="preserve">atesty </w:t>
      </w:r>
      <w:r w:rsidR="00E84B02" w:rsidRPr="00344AED">
        <w:rPr>
          <w:rFonts w:asciiTheme="majorHAnsi" w:hAnsiTheme="majorHAnsi"/>
          <w:sz w:val="20"/>
          <w:szCs w:val="20"/>
          <w:u w:val="single"/>
        </w:rPr>
        <w:t>potwierdzające wykonanie z materiałów</w:t>
      </w:r>
      <w:r w:rsidRPr="00344AED">
        <w:rPr>
          <w:rFonts w:asciiTheme="majorHAnsi" w:hAnsiTheme="majorHAnsi"/>
          <w:sz w:val="20"/>
          <w:szCs w:val="20"/>
          <w:u w:val="single"/>
        </w:rPr>
        <w:t xml:space="preserve">, </w:t>
      </w:r>
      <w:r w:rsidR="00E84B02" w:rsidRPr="00344AED">
        <w:rPr>
          <w:rFonts w:asciiTheme="majorHAnsi" w:hAnsiTheme="majorHAnsi"/>
          <w:sz w:val="20"/>
          <w:szCs w:val="20"/>
          <w:u w:val="single"/>
        </w:rPr>
        <w:t xml:space="preserve">które nie zagrażają zdrowiu ludzi oraz certyfikaty dopuszczające do użytku w jednostkach oświatowych </w:t>
      </w:r>
      <w:r w:rsidRPr="00344AED">
        <w:rPr>
          <w:rFonts w:asciiTheme="majorHAnsi" w:hAnsiTheme="majorHAnsi"/>
          <w:sz w:val="20"/>
          <w:szCs w:val="20"/>
          <w:u w:val="single"/>
        </w:rPr>
        <w:t>Wykonawca zobowiązany jest dostarczyć w dniu dostawy, co zostanie potwierdzone przez obie strony w protokole zdawczo-odbiorczym.</w:t>
      </w:r>
    </w:p>
    <w:p w:rsidR="00831601" w:rsidRPr="00344AED" w:rsidRDefault="00831601" w:rsidP="00831601">
      <w:pPr>
        <w:pStyle w:val="Tekstpodstawowywcity2"/>
        <w:tabs>
          <w:tab w:val="left" w:pos="0"/>
        </w:tabs>
        <w:spacing w:after="0" w:line="240" w:lineRule="auto"/>
        <w:jc w:val="both"/>
        <w:rPr>
          <w:rFonts w:asciiTheme="majorHAnsi" w:hAnsiTheme="majorHAnsi"/>
          <w:sz w:val="20"/>
          <w:szCs w:val="20"/>
        </w:rPr>
      </w:pPr>
    </w:p>
    <w:p w:rsidR="0083178B" w:rsidRPr="0083178B" w:rsidRDefault="00831601" w:rsidP="0083178B">
      <w:pPr>
        <w:pStyle w:val="Tekstpodstawowywcity2"/>
        <w:tabs>
          <w:tab w:val="left" w:pos="0"/>
        </w:tabs>
        <w:spacing w:after="0" w:line="240" w:lineRule="auto"/>
        <w:jc w:val="both"/>
        <w:rPr>
          <w:rFonts w:asciiTheme="majorHAnsi" w:hAnsiTheme="majorHAnsi"/>
          <w:b/>
          <w:sz w:val="20"/>
          <w:szCs w:val="20"/>
        </w:rPr>
      </w:pPr>
      <w:r w:rsidRPr="006E3655">
        <w:rPr>
          <w:rFonts w:asciiTheme="majorHAnsi" w:hAnsiTheme="majorHAnsi"/>
          <w:b/>
          <w:sz w:val="20"/>
          <w:szCs w:val="20"/>
        </w:rPr>
        <w:t>Wymogi dotyczące gwarancji dla przedmiotu zamówienia :</w:t>
      </w:r>
    </w:p>
    <w:p w:rsidR="0083178B" w:rsidRPr="0083178B" w:rsidRDefault="0083178B" w:rsidP="0083178B">
      <w:pPr>
        <w:widowControl/>
        <w:numPr>
          <w:ilvl w:val="0"/>
          <w:numId w:val="4"/>
        </w:numPr>
        <w:tabs>
          <w:tab w:val="left" w:pos="0"/>
        </w:tabs>
        <w:suppressAutoHyphens w:val="0"/>
        <w:autoSpaceDN/>
        <w:ind w:left="567"/>
        <w:jc w:val="both"/>
        <w:textAlignment w:val="auto"/>
        <w:rPr>
          <w:rFonts w:asciiTheme="majorHAnsi" w:eastAsia="Times New Roman" w:hAnsiTheme="majorHAnsi" w:cs="Times New Roman"/>
          <w:kern w:val="0"/>
          <w:sz w:val="20"/>
          <w:szCs w:val="20"/>
        </w:rPr>
      </w:pPr>
      <w:bookmarkStart w:id="1" w:name="_Hlk508198818"/>
      <w:r w:rsidRPr="0083178B">
        <w:rPr>
          <w:rFonts w:asciiTheme="majorHAnsi" w:eastAsia="Times New Roman" w:hAnsiTheme="majorHAnsi" w:cs="Times New Roman"/>
          <w:kern w:val="0"/>
          <w:sz w:val="20"/>
          <w:szCs w:val="20"/>
        </w:rPr>
        <w:t xml:space="preserve">Zamawiający wymaga minimalnego okresu gwarancji producenta - </w:t>
      </w:r>
      <w:r w:rsidRPr="0083178B">
        <w:rPr>
          <w:rFonts w:asciiTheme="majorHAnsi" w:eastAsia="Times New Roman" w:hAnsiTheme="majorHAnsi" w:cs="Times New Roman"/>
          <w:b/>
          <w:kern w:val="0"/>
          <w:sz w:val="20"/>
          <w:szCs w:val="20"/>
        </w:rPr>
        <w:t>minimum 24 miesiące,</w:t>
      </w:r>
      <w:r w:rsidRPr="0083178B">
        <w:rPr>
          <w:rFonts w:asciiTheme="majorHAnsi" w:eastAsia="Times New Roman" w:hAnsiTheme="majorHAnsi" w:cs="Times New Roman"/>
          <w:kern w:val="0"/>
          <w:sz w:val="20"/>
          <w:szCs w:val="20"/>
        </w:rPr>
        <w:t xml:space="preserve"> licząc od daty podpisania przez Zamawiającego </w:t>
      </w:r>
      <w:r w:rsidRPr="0083178B">
        <w:rPr>
          <w:rFonts w:asciiTheme="majorHAnsi" w:eastAsia="Times New Roman" w:hAnsiTheme="majorHAnsi" w:cs="Times New Roman"/>
          <w:kern w:val="0"/>
          <w:sz w:val="20"/>
          <w:szCs w:val="20"/>
          <w:lang w:eastAsia="en-US"/>
        </w:rPr>
        <w:t>protokołu zdawczo-odbiorczego. Długość obowiązującego okresu gwarancji na poszczególny element będzie liczona wg złożonego przez Wykonawcę oświadczenia w formularzu ofertowym.;</w:t>
      </w:r>
    </w:p>
    <w:p w:rsidR="0083178B" w:rsidRPr="0083178B" w:rsidRDefault="0083178B" w:rsidP="0083178B">
      <w:pPr>
        <w:widowControl/>
        <w:numPr>
          <w:ilvl w:val="0"/>
          <w:numId w:val="4"/>
        </w:numPr>
        <w:tabs>
          <w:tab w:val="left" w:pos="0"/>
        </w:tabs>
        <w:suppressAutoHyphens w:val="0"/>
        <w:autoSpaceDN/>
        <w:ind w:left="567"/>
        <w:jc w:val="both"/>
        <w:textAlignment w:val="auto"/>
        <w:rPr>
          <w:rFonts w:asciiTheme="majorHAnsi" w:eastAsia="Times New Roman" w:hAnsiTheme="majorHAnsi" w:cs="Times New Roman"/>
          <w:kern w:val="0"/>
          <w:sz w:val="20"/>
          <w:szCs w:val="20"/>
        </w:rPr>
      </w:pPr>
      <w:r w:rsidRPr="0083178B">
        <w:rPr>
          <w:rFonts w:asciiTheme="majorHAnsi" w:hAnsiTheme="majorHAnsi"/>
          <w:sz w:val="20"/>
          <w:szCs w:val="20"/>
        </w:rPr>
        <w:t>bieg terminu gwarancji rozpoczyna się w dniu następnym po podpisaniu przez Zamawiającego protokołu zdawczo-odbiorczego;</w:t>
      </w:r>
    </w:p>
    <w:p w:rsidR="0083178B" w:rsidRPr="0083178B" w:rsidRDefault="0083178B" w:rsidP="0083178B">
      <w:pPr>
        <w:widowControl/>
        <w:numPr>
          <w:ilvl w:val="0"/>
          <w:numId w:val="4"/>
        </w:numPr>
        <w:tabs>
          <w:tab w:val="left" w:pos="0"/>
        </w:tabs>
        <w:suppressAutoHyphens w:val="0"/>
        <w:autoSpaceDN/>
        <w:ind w:left="567"/>
        <w:jc w:val="both"/>
        <w:textAlignment w:val="auto"/>
        <w:rPr>
          <w:rFonts w:asciiTheme="majorHAnsi" w:hAnsiTheme="majorHAnsi"/>
          <w:sz w:val="20"/>
          <w:szCs w:val="20"/>
        </w:rPr>
      </w:pPr>
      <w:r w:rsidRPr="0083178B">
        <w:rPr>
          <w:rFonts w:asciiTheme="majorHAnsi" w:hAnsiTheme="majorHAnsi"/>
          <w:sz w:val="20"/>
          <w:szCs w:val="20"/>
        </w:rPr>
        <w:t xml:space="preserve">Wykonawca zobowiązany jest dostarczyć </w:t>
      </w:r>
      <w:r w:rsidRPr="0083178B">
        <w:rPr>
          <w:rFonts w:asciiTheme="majorHAnsi" w:eastAsia="Times New Roman" w:hAnsiTheme="majorHAnsi" w:cs="Times New Roman"/>
          <w:kern w:val="0"/>
          <w:sz w:val="20"/>
          <w:szCs w:val="20"/>
        </w:rPr>
        <w:t xml:space="preserve">karty gwarancyjne </w:t>
      </w:r>
      <w:r w:rsidRPr="0083178B">
        <w:rPr>
          <w:rFonts w:asciiTheme="majorHAnsi" w:hAnsiTheme="majorHAnsi"/>
          <w:sz w:val="20"/>
          <w:szCs w:val="20"/>
        </w:rPr>
        <w:t>w dniu dostawy, co zostanie potwierdzone przez obie strony w protokole zdawczo-odbiorczym</w:t>
      </w:r>
      <w:r w:rsidRPr="0083178B">
        <w:rPr>
          <w:rFonts w:asciiTheme="majorHAnsi" w:eastAsia="Times New Roman" w:hAnsiTheme="majorHAnsi" w:cs="Times New Roman"/>
          <w:kern w:val="0"/>
          <w:sz w:val="20"/>
          <w:szCs w:val="20"/>
        </w:rPr>
        <w:t>;</w:t>
      </w:r>
    </w:p>
    <w:p w:rsidR="0083178B" w:rsidRPr="0083178B" w:rsidRDefault="0083178B" w:rsidP="0083178B">
      <w:pPr>
        <w:widowControl/>
        <w:numPr>
          <w:ilvl w:val="0"/>
          <w:numId w:val="4"/>
        </w:numPr>
        <w:tabs>
          <w:tab w:val="left" w:pos="0"/>
        </w:tabs>
        <w:suppressAutoHyphens w:val="0"/>
        <w:autoSpaceDN/>
        <w:ind w:left="567"/>
        <w:jc w:val="both"/>
        <w:textAlignment w:val="auto"/>
        <w:rPr>
          <w:rFonts w:asciiTheme="majorHAnsi" w:hAnsiTheme="majorHAnsi"/>
          <w:sz w:val="20"/>
          <w:szCs w:val="20"/>
        </w:rPr>
      </w:pPr>
      <w:r w:rsidRPr="0083178B">
        <w:rPr>
          <w:rFonts w:asciiTheme="majorHAnsi" w:eastAsia="Times New Roman" w:hAnsiTheme="majorHAnsi" w:cs="Times New Roman"/>
          <w:kern w:val="0"/>
          <w:sz w:val="20"/>
          <w:szCs w:val="20"/>
        </w:rPr>
        <w:t>każdy element zamówienia musi zostać dostarczony jako urządzenie kompletne i gotowe do pracy zgodnie z przeznaczeniem;</w:t>
      </w:r>
    </w:p>
    <w:p w:rsidR="0083178B" w:rsidRPr="0083178B" w:rsidRDefault="0083178B" w:rsidP="0083178B">
      <w:pPr>
        <w:widowControl/>
        <w:numPr>
          <w:ilvl w:val="0"/>
          <w:numId w:val="4"/>
        </w:numPr>
        <w:tabs>
          <w:tab w:val="left" w:pos="0"/>
        </w:tabs>
        <w:suppressAutoHyphens w:val="0"/>
        <w:autoSpaceDN/>
        <w:ind w:left="567"/>
        <w:jc w:val="both"/>
        <w:textAlignment w:val="auto"/>
        <w:rPr>
          <w:rFonts w:asciiTheme="majorHAnsi" w:eastAsia="Times New Roman" w:hAnsiTheme="majorHAnsi" w:cs="Times New Roman"/>
          <w:kern w:val="0"/>
          <w:sz w:val="20"/>
          <w:szCs w:val="20"/>
        </w:rPr>
      </w:pPr>
      <w:r w:rsidRPr="0083178B">
        <w:rPr>
          <w:rFonts w:asciiTheme="majorHAnsi" w:hAnsiTheme="majorHAnsi"/>
          <w:sz w:val="20"/>
          <w:szCs w:val="20"/>
        </w:rPr>
        <w:t>warunki gwarancji nie mogą nakazywać Zamawiającemu przechowywania opakowań, w których wyposażenie zostanie dostarczone (Zamawiający może usunąć opakowania po ich dostarczeniu, co nie spowoduje utraty gwarancji, a dostarczony sprzęt mimo braku opakowań będzie podlegał usłudze gwarancyjnej;</w:t>
      </w:r>
    </w:p>
    <w:p w:rsidR="0083178B" w:rsidRPr="0083178B" w:rsidRDefault="0083178B" w:rsidP="0083178B">
      <w:pPr>
        <w:widowControl/>
        <w:numPr>
          <w:ilvl w:val="0"/>
          <w:numId w:val="4"/>
        </w:numPr>
        <w:tabs>
          <w:tab w:val="left" w:pos="0"/>
        </w:tabs>
        <w:suppressAutoHyphens w:val="0"/>
        <w:autoSpaceDN/>
        <w:ind w:left="567"/>
        <w:jc w:val="both"/>
        <w:textAlignment w:val="auto"/>
        <w:rPr>
          <w:rFonts w:asciiTheme="majorHAnsi" w:eastAsia="Calibri" w:hAnsiTheme="majorHAnsi" w:cs="Times New Roman"/>
          <w:kern w:val="0"/>
          <w:sz w:val="20"/>
          <w:szCs w:val="20"/>
          <w:lang w:eastAsia="en-US"/>
        </w:rPr>
      </w:pPr>
      <w:r w:rsidRPr="0083178B">
        <w:rPr>
          <w:rFonts w:asciiTheme="majorHAnsi" w:eastAsia="Calibri" w:hAnsiTheme="majorHAnsi" w:cs="Times New Roman"/>
          <w:kern w:val="0"/>
          <w:sz w:val="20"/>
          <w:szCs w:val="20"/>
          <w:lang w:eastAsia="en-US"/>
        </w:rPr>
        <w:t>Zamawiający zobowiązuje się dotrzymywać podstawowych warunków eksploatacji określonych przez producenta w zapisach kart gwarancyjnych dostarczonych przez Wykonawcę;</w:t>
      </w:r>
    </w:p>
    <w:p w:rsidR="0083178B" w:rsidRPr="0083178B" w:rsidRDefault="0083178B" w:rsidP="0083178B">
      <w:pPr>
        <w:widowControl/>
        <w:numPr>
          <w:ilvl w:val="0"/>
          <w:numId w:val="4"/>
        </w:numPr>
        <w:tabs>
          <w:tab w:val="left" w:pos="0"/>
        </w:tabs>
        <w:suppressAutoHyphens w:val="0"/>
        <w:autoSpaceDN/>
        <w:ind w:left="567"/>
        <w:jc w:val="both"/>
        <w:textAlignment w:val="auto"/>
        <w:rPr>
          <w:rFonts w:asciiTheme="majorHAnsi" w:eastAsia="Times New Roman" w:hAnsiTheme="majorHAnsi" w:cs="Times New Roman"/>
          <w:kern w:val="0"/>
          <w:sz w:val="20"/>
          <w:szCs w:val="20"/>
        </w:rPr>
      </w:pPr>
      <w:r w:rsidRPr="0083178B">
        <w:rPr>
          <w:rFonts w:asciiTheme="majorHAnsi" w:hAnsiTheme="majorHAnsi"/>
          <w:sz w:val="20"/>
          <w:szCs w:val="20"/>
        </w:rPr>
        <w:t>Wykonawca zobowiązuje się na czas trwania gwarancji do nieodpłatnego usuwania zgłaszanych przez przedstawiciela Zamawiającego usterek;</w:t>
      </w:r>
      <w:r w:rsidRPr="0083178B">
        <w:rPr>
          <w:rFonts w:asciiTheme="majorHAnsi" w:eastAsia="Times New Roman" w:hAnsiTheme="majorHAnsi" w:cs="Times New Roman"/>
          <w:kern w:val="0"/>
          <w:sz w:val="20"/>
          <w:szCs w:val="20"/>
        </w:rPr>
        <w:t xml:space="preserve"> Czas reakcji Wykonawcy - do końca następnego dnia roboczego od zgłoszenia. W przypadku wystąpienia konieczności naprawy sprzętu poza Lęborkiem, Wykonawca zapewni:</w:t>
      </w:r>
    </w:p>
    <w:p w:rsidR="0083178B" w:rsidRPr="0083178B" w:rsidRDefault="0083178B" w:rsidP="0083178B">
      <w:pPr>
        <w:widowControl/>
        <w:numPr>
          <w:ilvl w:val="0"/>
          <w:numId w:val="11"/>
        </w:numPr>
        <w:tabs>
          <w:tab w:val="left" w:pos="0"/>
        </w:tabs>
        <w:suppressAutoHyphens w:val="0"/>
        <w:autoSpaceDN/>
        <w:ind w:left="567" w:hanging="141"/>
        <w:jc w:val="both"/>
        <w:textAlignment w:val="auto"/>
        <w:rPr>
          <w:rFonts w:asciiTheme="majorHAnsi" w:eastAsia="Times New Roman" w:hAnsiTheme="majorHAnsi" w:cs="Times New Roman"/>
          <w:kern w:val="0"/>
          <w:sz w:val="20"/>
          <w:szCs w:val="20"/>
        </w:rPr>
      </w:pPr>
      <w:r w:rsidRPr="0083178B">
        <w:rPr>
          <w:rFonts w:asciiTheme="majorHAnsi" w:eastAsia="Times New Roman" w:hAnsiTheme="majorHAnsi" w:cs="Times New Roman"/>
          <w:kern w:val="0"/>
          <w:sz w:val="20"/>
          <w:szCs w:val="20"/>
        </w:rPr>
        <w:t>odbiór wadliwego sprzętu w terminie nieprzekraczającym 2 dni roboczych, na własny koszt;</w:t>
      </w:r>
    </w:p>
    <w:p w:rsidR="0083178B" w:rsidRPr="0083178B" w:rsidRDefault="0083178B" w:rsidP="0083178B">
      <w:pPr>
        <w:widowControl/>
        <w:numPr>
          <w:ilvl w:val="0"/>
          <w:numId w:val="11"/>
        </w:numPr>
        <w:tabs>
          <w:tab w:val="left" w:pos="0"/>
        </w:tabs>
        <w:suppressAutoHyphens w:val="0"/>
        <w:autoSpaceDN/>
        <w:ind w:left="567" w:hanging="141"/>
        <w:jc w:val="both"/>
        <w:textAlignment w:val="auto"/>
        <w:rPr>
          <w:rFonts w:asciiTheme="majorHAnsi" w:eastAsia="Times New Roman" w:hAnsiTheme="majorHAnsi" w:cs="Times New Roman"/>
          <w:kern w:val="0"/>
          <w:sz w:val="20"/>
          <w:szCs w:val="20"/>
        </w:rPr>
      </w:pPr>
      <w:r w:rsidRPr="0083178B">
        <w:rPr>
          <w:rFonts w:asciiTheme="majorHAnsi" w:eastAsia="Times New Roman" w:hAnsiTheme="majorHAnsi" w:cs="Times New Roman"/>
          <w:kern w:val="0"/>
          <w:sz w:val="20"/>
          <w:szCs w:val="20"/>
        </w:rPr>
        <w:t>dostawę naprawionego sprzętu na własny koszt, w terminie nieprzekraczającym 2 dni roboczych od dnia usunięcia awarii przez serwis, ale nie dłuższym niż 25 dni roboczych od dnia odebrania sprzętu z siedziby;</w:t>
      </w:r>
    </w:p>
    <w:p w:rsidR="0083178B" w:rsidRPr="0083178B" w:rsidRDefault="0083178B" w:rsidP="0083178B">
      <w:pPr>
        <w:widowControl/>
        <w:numPr>
          <w:ilvl w:val="0"/>
          <w:numId w:val="11"/>
        </w:numPr>
        <w:tabs>
          <w:tab w:val="left" w:pos="0"/>
        </w:tabs>
        <w:suppressAutoHyphens w:val="0"/>
        <w:autoSpaceDN/>
        <w:ind w:left="567" w:hanging="141"/>
        <w:jc w:val="both"/>
        <w:textAlignment w:val="auto"/>
        <w:rPr>
          <w:rFonts w:asciiTheme="majorHAnsi" w:eastAsia="Times New Roman" w:hAnsiTheme="majorHAnsi" w:cs="Times New Roman"/>
          <w:kern w:val="0"/>
          <w:sz w:val="20"/>
          <w:szCs w:val="20"/>
        </w:rPr>
      </w:pPr>
      <w:r w:rsidRPr="0083178B">
        <w:rPr>
          <w:rFonts w:asciiTheme="majorHAnsi" w:eastAsia="Times New Roman" w:hAnsiTheme="majorHAnsi" w:cs="Times New Roman"/>
          <w:kern w:val="0"/>
          <w:sz w:val="20"/>
          <w:szCs w:val="20"/>
        </w:rPr>
        <w:t>w przypadku braku możliwości usunięcia awarii w terminie 25 dni roboczych od dnia odebrania wadliwego sprzętu z siedziby, Wykonawca zobowiązuje się do dostarczenia nowego sprzętu zastępczego o parametrach równoważnych z oferowanymi;</w:t>
      </w:r>
    </w:p>
    <w:p w:rsidR="0083178B" w:rsidRPr="0083178B" w:rsidRDefault="0083178B" w:rsidP="0083178B">
      <w:pPr>
        <w:widowControl/>
        <w:numPr>
          <w:ilvl w:val="0"/>
          <w:numId w:val="4"/>
        </w:numPr>
        <w:tabs>
          <w:tab w:val="left" w:pos="0"/>
        </w:tabs>
        <w:suppressAutoHyphens w:val="0"/>
        <w:autoSpaceDN/>
        <w:ind w:left="567"/>
        <w:jc w:val="both"/>
        <w:textAlignment w:val="auto"/>
        <w:rPr>
          <w:rFonts w:asciiTheme="majorHAnsi" w:eastAsia="Times New Roman" w:hAnsiTheme="majorHAnsi" w:cs="Times New Roman"/>
          <w:kern w:val="0"/>
          <w:sz w:val="20"/>
          <w:szCs w:val="20"/>
        </w:rPr>
      </w:pPr>
      <w:r w:rsidRPr="0083178B">
        <w:rPr>
          <w:rFonts w:asciiTheme="majorHAnsi" w:eastAsia="Times New Roman" w:hAnsiTheme="majorHAnsi" w:cs="Times New Roman"/>
          <w:kern w:val="0"/>
          <w:sz w:val="20"/>
          <w:szCs w:val="20"/>
        </w:rPr>
        <w:t>w okresie gwarancji wszelkie koszty związane z usunięciem awarii, stwierdzonej w przedmiocie niniejszej zamówienia, obciążają Wykonawcę;</w:t>
      </w:r>
    </w:p>
    <w:p w:rsidR="0083178B" w:rsidRPr="0083178B" w:rsidRDefault="0083178B" w:rsidP="0083178B">
      <w:pPr>
        <w:widowControl/>
        <w:numPr>
          <w:ilvl w:val="0"/>
          <w:numId w:val="4"/>
        </w:numPr>
        <w:tabs>
          <w:tab w:val="left" w:pos="0"/>
        </w:tabs>
        <w:suppressAutoHyphens w:val="0"/>
        <w:autoSpaceDN/>
        <w:ind w:left="567"/>
        <w:jc w:val="both"/>
        <w:textAlignment w:val="auto"/>
        <w:rPr>
          <w:rFonts w:asciiTheme="majorHAnsi" w:eastAsia="Calibri" w:hAnsiTheme="majorHAnsi" w:cs="Times New Roman"/>
          <w:kern w:val="0"/>
          <w:sz w:val="20"/>
          <w:szCs w:val="20"/>
        </w:rPr>
      </w:pPr>
      <w:r w:rsidRPr="0083178B">
        <w:rPr>
          <w:rFonts w:asciiTheme="majorHAnsi" w:eastAsia="Times New Roman" w:hAnsiTheme="majorHAnsi" w:cs="Times New Roman"/>
          <w:kern w:val="0"/>
          <w:sz w:val="20"/>
          <w:szCs w:val="20"/>
        </w:rPr>
        <w:t>gwarancja obejmuje uprawnienie Zamawiającego do żądania wymiany Sprzętu na wolny od wad lub nieodpłatnej jego naprawy. Wykonawca zobowiązany jest w zakresie gwarancji między innymi do świadczenia nieodpłatnej tj. wliczonej w cenę oferty bieżącej konserwacji, Wykonawcy i przeglądów technicznych wynikających z warunków gwarancji i naprawy w okresie gwarancyjnym w miejscu użytkowania;</w:t>
      </w:r>
    </w:p>
    <w:p w:rsidR="0083178B" w:rsidRPr="0083178B" w:rsidRDefault="0083178B" w:rsidP="0083178B">
      <w:pPr>
        <w:widowControl/>
        <w:numPr>
          <w:ilvl w:val="0"/>
          <w:numId w:val="4"/>
        </w:numPr>
        <w:tabs>
          <w:tab w:val="left" w:pos="0"/>
        </w:tabs>
        <w:suppressAutoHyphens w:val="0"/>
        <w:autoSpaceDN/>
        <w:ind w:left="567"/>
        <w:jc w:val="both"/>
        <w:textAlignment w:val="auto"/>
        <w:rPr>
          <w:rFonts w:asciiTheme="majorHAnsi" w:eastAsia="Calibri" w:hAnsiTheme="majorHAnsi" w:cs="Times New Roman"/>
          <w:kern w:val="0"/>
          <w:sz w:val="20"/>
          <w:szCs w:val="20"/>
        </w:rPr>
      </w:pPr>
      <w:r w:rsidRPr="0083178B">
        <w:rPr>
          <w:rFonts w:asciiTheme="majorHAnsi" w:hAnsiTheme="majorHAnsi"/>
          <w:sz w:val="20"/>
          <w:szCs w:val="20"/>
        </w:rPr>
        <w:t xml:space="preserve"> gwarancja ulega automatycznie przedłużeniu o okres naprawy.</w:t>
      </w:r>
    </w:p>
    <w:bookmarkEnd w:id="1"/>
    <w:p w:rsidR="0083178B" w:rsidRPr="0083178B" w:rsidRDefault="0083178B" w:rsidP="00821CBB">
      <w:pPr>
        <w:jc w:val="both"/>
        <w:rPr>
          <w:rFonts w:ascii="Cambria" w:hAnsi="Cambria" w:cs="Cambria"/>
          <w:sz w:val="20"/>
          <w:szCs w:val="20"/>
        </w:rPr>
      </w:pPr>
    </w:p>
    <w:p w:rsidR="0083178B" w:rsidRDefault="0083178B" w:rsidP="00821CBB">
      <w:pPr>
        <w:jc w:val="both"/>
        <w:rPr>
          <w:rFonts w:ascii="Cambria" w:hAnsi="Cambria" w:cs="Cambria"/>
          <w:sz w:val="22"/>
          <w:szCs w:val="22"/>
        </w:rPr>
      </w:pPr>
    </w:p>
    <w:p w:rsidR="00821CBB" w:rsidRPr="00004DA2" w:rsidRDefault="00821CBB" w:rsidP="00821CBB">
      <w:pPr>
        <w:jc w:val="both"/>
        <w:rPr>
          <w:rFonts w:ascii="Cambria" w:hAnsi="Cambria" w:cs="Cambria"/>
          <w:b/>
          <w:bCs/>
          <w:sz w:val="22"/>
          <w:szCs w:val="22"/>
          <w:lang w:eastAsia="en-US"/>
        </w:rPr>
      </w:pPr>
      <w:r w:rsidRPr="00004DA2">
        <w:rPr>
          <w:rFonts w:ascii="Cambria" w:hAnsi="Cambria" w:cs="Cambria"/>
          <w:b/>
          <w:bCs/>
          <w:sz w:val="22"/>
          <w:szCs w:val="22"/>
          <w:lang w:eastAsia="en-US"/>
        </w:rPr>
        <w:t xml:space="preserve">Szczegółowy opis przedmiotu zamówienia z określeniem minimalnych wymogów co do rodzaju i ilości sprzętu, jak również wymagań </w:t>
      </w:r>
      <w:r>
        <w:rPr>
          <w:rFonts w:ascii="Cambria" w:hAnsi="Cambria" w:cs="Cambria"/>
          <w:b/>
          <w:bCs/>
          <w:sz w:val="22"/>
          <w:szCs w:val="22"/>
          <w:lang w:eastAsia="en-US"/>
        </w:rPr>
        <w:t>technicznych i jakościowych</w:t>
      </w:r>
    </w:p>
    <w:p w:rsidR="00821CBB" w:rsidRDefault="00821CBB" w:rsidP="00821CBB">
      <w:pPr>
        <w:pStyle w:val="Tekstpodstawowywcity21"/>
        <w:tabs>
          <w:tab w:val="left" w:pos="1134"/>
        </w:tabs>
        <w:spacing w:after="0" w:line="276" w:lineRule="auto"/>
        <w:ind w:left="0"/>
        <w:rPr>
          <w:rFonts w:ascii="Cambria" w:hAnsi="Cambria" w:cs="Cambria"/>
          <w:b/>
          <w:bCs/>
          <w:sz w:val="20"/>
          <w:szCs w:val="20"/>
        </w:rPr>
      </w:pPr>
    </w:p>
    <w:p w:rsidR="00821CBB" w:rsidRPr="006840E0" w:rsidRDefault="00821CBB" w:rsidP="00821CBB">
      <w:pPr>
        <w:jc w:val="both"/>
        <w:rPr>
          <w:rFonts w:ascii="Cambria" w:eastAsia="Calibri" w:hAnsi="Cambria"/>
          <w:b/>
          <w:color w:val="000000" w:themeColor="text1"/>
          <w:sz w:val="22"/>
          <w:szCs w:val="20"/>
          <w:lang w:eastAsia="en-US"/>
        </w:rPr>
      </w:pPr>
      <w:bookmarkStart w:id="2" w:name="_Hlk505149651"/>
      <w:r w:rsidRPr="006840E0">
        <w:rPr>
          <w:rFonts w:ascii="Cambria" w:hAnsi="Cambria"/>
          <w:b/>
          <w:color w:val="000000" w:themeColor="text1"/>
          <w:sz w:val="22"/>
          <w:szCs w:val="20"/>
          <w:highlight w:val="lightGray"/>
          <w:lang w:eastAsia="en-US"/>
        </w:rPr>
        <w:t xml:space="preserve">Część 1 - </w:t>
      </w:r>
      <w:r w:rsidR="00946D8F" w:rsidRPr="006840E0">
        <w:rPr>
          <w:rFonts w:ascii="Cambria" w:hAnsi="Cambria"/>
          <w:b/>
          <w:color w:val="000000" w:themeColor="text1"/>
          <w:sz w:val="22"/>
          <w:szCs w:val="20"/>
          <w:highlight w:val="lightGray"/>
          <w:lang w:eastAsia="en-US"/>
        </w:rPr>
        <w:t xml:space="preserve">Dostawa mebli do pracowni </w:t>
      </w:r>
      <w:r w:rsidR="00570A39" w:rsidRPr="006840E0">
        <w:rPr>
          <w:rFonts w:ascii="Cambria" w:hAnsi="Cambria"/>
          <w:b/>
          <w:color w:val="000000" w:themeColor="text1"/>
          <w:sz w:val="22"/>
          <w:szCs w:val="20"/>
          <w:highlight w:val="lightGray"/>
          <w:lang w:eastAsia="en-US"/>
        </w:rPr>
        <w:t xml:space="preserve">sieci komputerowej </w:t>
      </w:r>
    </w:p>
    <w:bookmarkEnd w:id="2"/>
    <w:p w:rsidR="00A83488" w:rsidRDefault="00A83488" w:rsidP="00821CBB">
      <w:pPr>
        <w:jc w:val="both"/>
        <w:rPr>
          <w:rFonts w:ascii="Cambria" w:hAnsi="Cambria"/>
          <w:b/>
          <w:sz w:val="22"/>
          <w:szCs w:val="20"/>
          <w:lang w:eastAsia="en-US"/>
        </w:rPr>
      </w:pPr>
    </w:p>
    <w:p w:rsidR="002F45B6" w:rsidRPr="006840E0" w:rsidRDefault="006840E0" w:rsidP="00821CBB">
      <w:pPr>
        <w:jc w:val="both"/>
        <w:rPr>
          <w:rFonts w:asciiTheme="majorHAnsi" w:hAnsiTheme="majorHAnsi"/>
          <w:sz w:val="22"/>
        </w:rPr>
      </w:pPr>
      <w:r w:rsidRPr="006840E0">
        <w:rPr>
          <w:rFonts w:asciiTheme="majorHAnsi" w:hAnsiTheme="majorHAnsi"/>
          <w:sz w:val="20"/>
        </w:rPr>
        <w:t xml:space="preserve">Kolor mebli: </w:t>
      </w:r>
      <w:r w:rsidR="002F45B6" w:rsidRPr="006840E0">
        <w:rPr>
          <w:rFonts w:asciiTheme="majorHAnsi" w:hAnsiTheme="majorHAnsi"/>
          <w:sz w:val="20"/>
        </w:rPr>
        <w:t>jasny</w:t>
      </w:r>
      <w:r w:rsidRPr="006840E0">
        <w:rPr>
          <w:rFonts w:asciiTheme="majorHAnsi" w:hAnsiTheme="majorHAnsi"/>
          <w:sz w:val="20"/>
        </w:rPr>
        <w:t xml:space="preserve"> </w:t>
      </w:r>
      <w:r w:rsidR="002F45B6" w:rsidRPr="006840E0">
        <w:rPr>
          <w:rFonts w:asciiTheme="majorHAnsi" w:hAnsiTheme="majorHAnsi"/>
          <w:sz w:val="20"/>
        </w:rPr>
        <w:t>dąb</w:t>
      </w:r>
    </w:p>
    <w:p w:rsidR="006840E0" w:rsidRPr="006840E0" w:rsidRDefault="006840E0" w:rsidP="00821CBB">
      <w:pPr>
        <w:jc w:val="both"/>
        <w:rPr>
          <w:rFonts w:ascii="Cambria" w:hAnsi="Cambria"/>
          <w:b/>
          <w:sz w:val="20"/>
          <w:szCs w:val="20"/>
          <w:lang w:eastAsia="en-US"/>
        </w:rPr>
      </w:pPr>
    </w:p>
    <w:p w:rsidR="00154486" w:rsidRPr="006840E0" w:rsidRDefault="00154486" w:rsidP="00C74C5E">
      <w:pPr>
        <w:pStyle w:val="Akapitzlist"/>
        <w:numPr>
          <w:ilvl w:val="0"/>
          <w:numId w:val="7"/>
        </w:numPr>
        <w:tabs>
          <w:tab w:val="left" w:pos="0"/>
        </w:tabs>
        <w:spacing w:after="0"/>
        <w:jc w:val="both"/>
        <w:rPr>
          <w:rFonts w:ascii="Cambria" w:hAnsi="Cambria"/>
          <w:sz w:val="20"/>
          <w:szCs w:val="20"/>
        </w:rPr>
      </w:pPr>
      <w:r w:rsidRPr="006840E0">
        <w:rPr>
          <w:rFonts w:ascii="Cambria" w:hAnsi="Cambria"/>
          <w:sz w:val="20"/>
          <w:szCs w:val="20"/>
        </w:rPr>
        <w:t xml:space="preserve">11 szt.  x 3 stanowiskowy stół </w:t>
      </w:r>
      <w:r w:rsidRPr="006840E0">
        <w:rPr>
          <w:rFonts w:ascii="Cambria" w:hAnsi="Cambria"/>
          <w:color w:val="000000" w:themeColor="text1"/>
          <w:sz w:val="20"/>
          <w:szCs w:val="20"/>
        </w:rPr>
        <w:t xml:space="preserve">komputerowy (na planie nr 1): </w:t>
      </w:r>
    </w:p>
    <w:p w:rsidR="00154486" w:rsidRPr="00154486"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bookmarkStart w:id="3" w:name="_Hlk505148901"/>
      <w:r w:rsidRPr="00154486">
        <w:rPr>
          <w:rFonts w:ascii="Cambria" w:eastAsia="Times New Roman" w:hAnsi="Cambria" w:cs="Calibri"/>
          <w:kern w:val="0"/>
          <w:sz w:val="20"/>
          <w:szCs w:val="20"/>
          <w:lang w:eastAsia="en-US"/>
        </w:rPr>
        <w:t xml:space="preserve">• długość 240 cm </w:t>
      </w:r>
    </w:p>
    <w:p w:rsidR="00154486" w:rsidRPr="00154486"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 xml:space="preserve">• szerokość 70 cm </w:t>
      </w:r>
    </w:p>
    <w:p w:rsidR="00154486" w:rsidRPr="00154486"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 xml:space="preserve">• wysokość: 77 cm  </w:t>
      </w:r>
    </w:p>
    <w:p w:rsidR="00154486" w:rsidRPr="00154486"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 xml:space="preserve">• grubość blatu: minimum 3,5 cm </w:t>
      </w:r>
    </w:p>
    <w:p w:rsidR="00154486" w:rsidRPr="00154486"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 xml:space="preserve">• 3 otwory kablowe umożliwiająca podłączenie monitorów z komputerami umiejscowionych na mobilnych podstawach, na podłodze. </w:t>
      </w:r>
    </w:p>
    <w:p w:rsidR="00E61299"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bookmarkStart w:id="4" w:name="_Hlk508628382"/>
      <w:r w:rsidRPr="00E61299">
        <w:rPr>
          <w:rFonts w:ascii="Cambria" w:eastAsia="Times New Roman" w:hAnsi="Cambria" w:cs="Calibri"/>
          <w:kern w:val="0"/>
          <w:sz w:val="20"/>
          <w:szCs w:val="20"/>
          <w:highlight w:val="yellow"/>
          <w:lang w:eastAsia="en-US"/>
        </w:rPr>
        <w:t xml:space="preserve">• </w:t>
      </w:r>
      <w:r w:rsidR="00E61299" w:rsidRPr="00E61299">
        <w:rPr>
          <w:rFonts w:ascii="Cambria" w:eastAsia="Times New Roman" w:hAnsi="Cambria" w:cs="Calibri"/>
          <w:kern w:val="0"/>
          <w:sz w:val="20"/>
          <w:szCs w:val="20"/>
          <w:highlight w:val="yellow"/>
          <w:lang w:eastAsia="en-US"/>
        </w:rPr>
        <w:t>metalowy stelaż, podtrzymujący blat na całej długości i szerokości</w:t>
      </w:r>
    </w:p>
    <w:bookmarkEnd w:id="4"/>
    <w:p w:rsidR="00154486" w:rsidRPr="006840E0"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 3 wysuwalne półki pod klawiaturę</w:t>
      </w:r>
    </w:p>
    <w:p w:rsidR="00154486" w:rsidRPr="00154486"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 xml:space="preserve"> </w:t>
      </w:r>
    </w:p>
    <w:p w:rsidR="00154486" w:rsidRPr="006840E0" w:rsidRDefault="00154486" w:rsidP="00C74C5E">
      <w:pPr>
        <w:pStyle w:val="Akapitzlist"/>
        <w:numPr>
          <w:ilvl w:val="0"/>
          <w:numId w:val="7"/>
        </w:numPr>
        <w:tabs>
          <w:tab w:val="left" w:pos="0"/>
        </w:tabs>
        <w:spacing w:after="0"/>
        <w:jc w:val="both"/>
        <w:rPr>
          <w:rFonts w:ascii="Cambria" w:hAnsi="Cambria"/>
          <w:sz w:val="20"/>
          <w:szCs w:val="20"/>
        </w:rPr>
      </w:pPr>
      <w:r w:rsidRPr="006840E0">
        <w:rPr>
          <w:rFonts w:ascii="Cambria" w:hAnsi="Cambria"/>
          <w:sz w:val="20"/>
          <w:szCs w:val="20"/>
        </w:rPr>
        <w:lastRenderedPageBreak/>
        <w:t xml:space="preserve">Biurko nauczycielskie (na planie nr 2): </w:t>
      </w:r>
    </w:p>
    <w:p w:rsidR="00154486" w:rsidRPr="00154486"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 długość: 250 cm</w:t>
      </w:r>
    </w:p>
    <w:p w:rsidR="00154486" w:rsidRPr="00154486"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 szerokość minimum: 70 cm</w:t>
      </w:r>
    </w:p>
    <w:p w:rsidR="00154486" w:rsidRPr="00154486"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 wysokość: 770mm</w:t>
      </w:r>
    </w:p>
    <w:p w:rsidR="00154486" w:rsidRPr="00154486"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 zamykana na klucz szafka z dwoma półkami</w:t>
      </w:r>
    </w:p>
    <w:p w:rsidR="00154486" w:rsidRPr="00154486"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 3 szuflady, w tym 2 zamykane na klucz, trzecia wysuwana (docelowo pod drukarkę)</w:t>
      </w:r>
    </w:p>
    <w:p w:rsidR="00154486" w:rsidRPr="006840E0"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p>
    <w:p w:rsidR="00154486" w:rsidRPr="006840E0" w:rsidRDefault="00154486" w:rsidP="00C74C5E">
      <w:pPr>
        <w:pStyle w:val="Akapitzlist"/>
        <w:numPr>
          <w:ilvl w:val="0"/>
          <w:numId w:val="7"/>
        </w:numPr>
        <w:tabs>
          <w:tab w:val="left" w:pos="0"/>
        </w:tabs>
        <w:spacing w:after="0"/>
        <w:jc w:val="both"/>
        <w:rPr>
          <w:rFonts w:ascii="Cambria" w:hAnsi="Cambria"/>
          <w:sz w:val="20"/>
          <w:szCs w:val="20"/>
        </w:rPr>
      </w:pPr>
      <w:r w:rsidRPr="006840E0">
        <w:rPr>
          <w:rFonts w:ascii="Cambria" w:hAnsi="Cambria"/>
          <w:sz w:val="20"/>
          <w:szCs w:val="20"/>
        </w:rPr>
        <w:t>Komoda (na planie nr 3):</w:t>
      </w:r>
    </w:p>
    <w:p w:rsidR="00154486" w:rsidRPr="00154486" w:rsidRDefault="00154486" w:rsidP="00154486">
      <w:pPr>
        <w:widowControl/>
        <w:numPr>
          <w:ilvl w:val="0"/>
          <w:numId w:val="6"/>
        </w:numPr>
        <w:tabs>
          <w:tab w:val="left" w:pos="0"/>
        </w:tabs>
        <w:suppressAutoHyphens w:val="0"/>
        <w:autoSpaceDN/>
        <w:ind w:left="142" w:hanging="142"/>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długość 160 cm</w:t>
      </w:r>
    </w:p>
    <w:p w:rsidR="00154486" w:rsidRPr="00154486"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 szerokość 50 cm</w:t>
      </w:r>
    </w:p>
    <w:p w:rsidR="00154486" w:rsidRPr="00154486"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 wysokość: 77 cm</w:t>
      </w:r>
    </w:p>
    <w:p w:rsidR="00154486" w:rsidRPr="00154486"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 2 półki z możliwością 3-stopniowej regulacji ich wysokości</w:t>
      </w:r>
    </w:p>
    <w:p w:rsidR="00154486" w:rsidRPr="00154486" w:rsidRDefault="00154486" w:rsidP="00154486">
      <w:pPr>
        <w:widowControl/>
        <w:tabs>
          <w:tab w:val="left" w:pos="0"/>
        </w:tabs>
        <w:suppressAutoHyphens w:val="0"/>
        <w:autoSpaceDN/>
        <w:jc w:val="both"/>
        <w:textAlignment w:val="auto"/>
        <w:rPr>
          <w:rFonts w:ascii="Cambria" w:eastAsia="Times New Roman" w:hAnsi="Cambria" w:cs="Calibri"/>
          <w:kern w:val="0"/>
          <w:sz w:val="20"/>
          <w:szCs w:val="20"/>
          <w:lang w:eastAsia="en-US"/>
        </w:rPr>
      </w:pPr>
      <w:r w:rsidRPr="00154486">
        <w:rPr>
          <w:rFonts w:ascii="Cambria" w:eastAsia="Times New Roman" w:hAnsi="Cambria" w:cs="Calibri"/>
          <w:kern w:val="0"/>
          <w:sz w:val="20"/>
          <w:szCs w:val="20"/>
          <w:lang w:eastAsia="en-US"/>
        </w:rPr>
        <w:t>• zamykana na klucz</w:t>
      </w:r>
      <w:r w:rsidRPr="00154486">
        <w:rPr>
          <w:rFonts w:ascii="Cambria" w:eastAsia="Times New Roman" w:hAnsi="Cambria" w:cs="Calibri"/>
          <w:kern w:val="0"/>
          <w:sz w:val="20"/>
          <w:szCs w:val="20"/>
          <w:lang w:eastAsia="en-US"/>
        </w:rPr>
        <w:cr/>
      </w:r>
    </w:p>
    <w:p w:rsidR="00154486" w:rsidRPr="006840E0" w:rsidRDefault="00154486" w:rsidP="00154486">
      <w:pPr>
        <w:pStyle w:val="Akapitzlist"/>
        <w:numPr>
          <w:ilvl w:val="0"/>
          <w:numId w:val="7"/>
        </w:numPr>
        <w:tabs>
          <w:tab w:val="left" w:pos="0"/>
        </w:tabs>
        <w:jc w:val="both"/>
        <w:rPr>
          <w:rFonts w:ascii="Cambria" w:hAnsi="Cambria"/>
          <w:sz w:val="20"/>
          <w:szCs w:val="20"/>
        </w:rPr>
      </w:pPr>
      <w:r w:rsidRPr="006840E0">
        <w:rPr>
          <w:rFonts w:ascii="Cambria" w:hAnsi="Cambria"/>
          <w:sz w:val="20"/>
          <w:szCs w:val="20"/>
        </w:rPr>
        <w:t>22 fotele komputerowe spełniające wymagania przepisów BHP pracowni komputerowej, z tapicerką materiałową, o jednolitej kolorystyce (w tym jeden nauczycielski), o podłokietnikach umożliwiających wsunięcie ich wraz z krzesłem do oparcia pod blaty wielostanowiskowych stołów komputerowych z punktu 1 z dopuszczalnym maksymalnym obciążeniem krzesła minimum 120kg – na planie nr 4</w:t>
      </w:r>
    </w:p>
    <w:p w:rsidR="00154486" w:rsidRPr="006840E0" w:rsidRDefault="00154486" w:rsidP="00154486">
      <w:pPr>
        <w:pStyle w:val="Akapitzlist"/>
        <w:numPr>
          <w:ilvl w:val="0"/>
          <w:numId w:val="7"/>
        </w:numPr>
        <w:tabs>
          <w:tab w:val="left" w:pos="0"/>
        </w:tabs>
        <w:jc w:val="both"/>
        <w:rPr>
          <w:rFonts w:ascii="Cambria" w:hAnsi="Cambria"/>
          <w:sz w:val="20"/>
          <w:szCs w:val="20"/>
        </w:rPr>
      </w:pPr>
      <w:r w:rsidRPr="006840E0">
        <w:rPr>
          <w:rFonts w:ascii="Cambria" w:hAnsi="Cambria"/>
          <w:sz w:val="20"/>
          <w:szCs w:val="20"/>
        </w:rPr>
        <w:t xml:space="preserve">21 mobilnych podstaw pod stację roboczą komputera stacjonarnego, z obramowaniem uniemożliwiającym ześlizgnięcie się jednostki z podstawy, każda podstawa umieszczona na 4 kółkach </w:t>
      </w:r>
    </w:p>
    <w:p w:rsidR="00154486" w:rsidRPr="006840E0" w:rsidRDefault="00154486" w:rsidP="00154486">
      <w:pPr>
        <w:pStyle w:val="Akapitzlist"/>
        <w:numPr>
          <w:ilvl w:val="0"/>
          <w:numId w:val="7"/>
        </w:numPr>
        <w:tabs>
          <w:tab w:val="left" w:pos="0"/>
        </w:tabs>
        <w:jc w:val="both"/>
        <w:rPr>
          <w:rFonts w:ascii="Cambria" w:hAnsi="Cambria"/>
          <w:sz w:val="20"/>
          <w:szCs w:val="20"/>
        </w:rPr>
      </w:pPr>
      <w:r w:rsidRPr="006840E0">
        <w:rPr>
          <w:rFonts w:ascii="Cambria" w:hAnsi="Cambria"/>
          <w:sz w:val="20"/>
          <w:szCs w:val="20"/>
        </w:rPr>
        <w:t>18 mobilnych, ustawianych pomiędzy stanowiskami przegród, uniemożliwiających uczniom zaglądanie na sąsiedni monitor, wysokość: 500mm, szerokość: 800mm, zaokrąglony górny, frontowy narożnik (ćwiartka koła o promieniu 100mm)</w:t>
      </w:r>
    </w:p>
    <w:bookmarkEnd w:id="3"/>
    <w:p w:rsidR="003E6233" w:rsidRDefault="00570A39" w:rsidP="00570A39">
      <w:pPr>
        <w:pStyle w:val="Tekstpodstawowywcity21"/>
        <w:tabs>
          <w:tab w:val="left" w:pos="1134"/>
        </w:tabs>
        <w:spacing w:after="0" w:line="276" w:lineRule="auto"/>
        <w:ind w:left="0"/>
        <w:jc w:val="center"/>
        <w:rPr>
          <w:rFonts w:ascii="Cambria" w:hAnsi="Cambria" w:cs="Cambria"/>
          <w:b/>
          <w:bCs/>
          <w:sz w:val="20"/>
          <w:szCs w:val="20"/>
        </w:rPr>
      </w:pPr>
      <w:r>
        <w:rPr>
          <w:rFonts w:ascii="Cambria" w:hAnsi="Cambria" w:cs="Cambria"/>
          <w:b/>
          <w:bCs/>
          <w:noProof/>
          <w:sz w:val="20"/>
          <w:szCs w:val="20"/>
        </w:rPr>
        <w:lastRenderedPageBreak/>
        <w:drawing>
          <wp:inline distT="0" distB="0" distL="0" distR="0" wp14:anchorId="68D5CAA9">
            <wp:extent cx="4522191" cy="694372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2584" cy="6975037"/>
                    </a:xfrm>
                    <a:prstGeom prst="rect">
                      <a:avLst/>
                    </a:prstGeom>
                    <a:noFill/>
                  </pic:spPr>
                </pic:pic>
              </a:graphicData>
            </a:graphic>
          </wp:inline>
        </w:drawing>
      </w:r>
    </w:p>
    <w:p w:rsidR="00C74C5E" w:rsidRDefault="00C74C5E" w:rsidP="00570A39">
      <w:pPr>
        <w:jc w:val="both"/>
        <w:rPr>
          <w:rFonts w:ascii="Cambria" w:hAnsi="Cambria"/>
          <w:b/>
          <w:color w:val="000000" w:themeColor="text1"/>
          <w:sz w:val="22"/>
          <w:szCs w:val="20"/>
          <w:highlight w:val="lightGray"/>
          <w:lang w:eastAsia="en-US"/>
        </w:rPr>
      </w:pPr>
    </w:p>
    <w:p w:rsidR="00570A39" w:rsidRPr="006840E0" w:rsidRDefault="00570A39" w:rsidP="00570A39">
      <w:pPr>
        <w:jc w:val="both"/>
        <w:rPr>
          <w:rFonts w:ascii="Cambria" w:hAnsi="Cambria"/>
          <w:b/>
          <w:color w:val="000000" w:themeColor="text1"/>
          <w:sz w:val="22"/>
          <w:szCs w:val="20"/>
          <w:highlight w:val="lightGray"/>
          <w:lang w:eastAsia="en-US"/>
        </w:rPr>
      </w:pPr>
      <w:r w:rsidRPr="006840E0">
        <w:rPr>
          <w:rFonts w:ascii="Cambria" w:hAnsi="Cambria"/>
          <w:b/>
          <w:color w:val="000000" w:themeColor="text1"/>
          <w:sz w:val="22"/>
          <w:szCs w:val="20"/>
          <w:highlight w:val="lightGray"/>
          <w:lang w:eastAsia="en-US"/>
        </w:rPr>
        <w:t xml:space="preserve">Część 2 - </w:t>
      </w:r>
      <w:bookmarkStart w:id="5" w:name="_Hlk505171105"/>
      <w:r w:rsidRPr="006840E0">
        <w:rPr>
          <w:rFonts w:ascii="Cambria" w:hAnsi="Cambria"/>
          <w:b/>
          <w:color w:val="000000" w:themeColor="text1"/>
          <w:sz w:val="22"/>
          <w:szCs w:val="20"/>
          <w:highlight w:val="lightGray"/>
          <w:lang w:eastAsia="en-US"/>
        </w:rPr>
        <w:t>Dostawa mebli do pracowni aplikacji internetowych i baz danych</w:t>
      </w:r>
      <w:bookmarkEnd w:id="5"/>
    </w:p>
    <w:p w:rsidR="006840E0" w:rsidRDefault="006840E0" w:rsidP="006840E0">
      <w:pPr>
        <w:jc w:val="both"/>
      </w:pPr>
    </w:p>
    <w:p w:rsidR="006840E0" w:rsidRPr="006840E0" w:rsidRDefault="006840E0" w:rsidP="006840E0">
      <w:pPr>
        <w:jc w:val="both"/>
        <w:rPr>
          <w:rFonts w:asciiTheme="majorHAnsi" w:hAnsiTheme="majorHAnsi"/>
          <w:sz w:val="20"/>
          <w:szCs w:val="20"/>
        </w:rPr>
      </w:pPr>
      <w:r w:rsidRPr="006840E0">
        <w:rPr>
          <w:rFonts w:asciiTheme="majorHAnsi" w:hAnsiTheme="majorHAnsi"/>
          <w:sz w:val="20"/>
          <w:szCs w:val="20"/>
        </w:rPr>
        <w:t>Kolor mebli: jasny dąb</w:t>
      </w:r>
    </w:p>
    <w:p w:rsidR="0099406A" w:rsidRPr="006840E0" w:rsidRDefault="0099406A">
      <w:pPr>
        <w:pStyle w:val="Standard"/>
        <w:rPr>
          <w:sz w:val="22"/>
        </w:rPr>
      </w:pPr>
    </w:p>
    <w:p w:rsidR="00570A39" w:rsidRPr="00570A39" w:rsidRDefault="00570A39" w:rsidP="00570A39">
      <w:pPr>
        <w:widowControl/>
        <w:numPr>
          <w:ilvl w:val="0"/>
          <w:numId w:val="8"/>
        </w:numPr>
        <w:tabs>
          <w:tab w:val="left" w:pos="0"/>
        </w:tabs>
        <w:suppressAutoHyphens w:val="0"/>
        <w:autoSpaceDN/>
        <w:ind w:left="284" w:hanging="284"/>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Wielostanowiskowy stół komputerowy (7 stanowisk):</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długość 6850mm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szerokość 700mm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lastRenderedPageBreak/>
        <w:t>wysokość: 760mm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grubość blatu: minimum 35mm</w:t>
      </w:r>
    </w:p>
    <w:p w:rsidR="00570A39" w:rsidRPr="00570A39" w:rsidRDefault="00570A39" w:rsidP="00E61299">
      <w:pPr>
        <w:widowControl/>
        <w:numPr>
          <w:ilvl w:val="0"/>
          <w:numId w:val="9"/>
        </w:numPr>
        <w:tabs>
          <w:tab w:val="left" w:pos="0"/>
        </w:tabs>
        <w:suppressAutoHyphens w:val="0"/>
        <w:autoSpaceDN/>
        <w:ind w:left="714" w:hanging="357"/>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otwory kablowe umożliwiające podłączenie jednostek centralnych umiejscowionych na mobilnych podstawach, na podłodze, w dowolnym miejscu do gniazd prądowych i sieciowych znajdujących się powyżej poziomu blatu</w:t>
      </w:r>
    </w:p>
    <w:p w:rsidR="00E61299" w:rsidRDefault="00E61299" w:rsidP="00E61299">
      <w:pPr>
        <w:pStyle w:val="Akapitzlist"/>
        <w:numPr>
          <w:ilvl w:val="0"/>
          <w:numId w:val="9"/>
        </w:numPr>
        <w:tabs>
          <w:tab w:val="left" w:pos="0"/>
        </w:tabs>
        <w:spacing w:after="0"/>
        <w:ind w:left="714" w:hanging="357"/>
        <w:jc w:val="both"/>
        <w:rPr>
          <w:rFonts w:ascii="Cambria" w:hAnsi="Cambria"/>
          <w:sz w:val="20"/>
          <w:szCs w:val="20"/>
        </w:rPr>
      </w:pPr>
      <w:r w:rsidRPr="00E61299">
        <w:rPr>
          <w:rFonts w:ascii="Cambria" w:hAnsi="Cambria"/>
          <w:sz w:val="20"/>
          <w:szCs w:val="20"/>
          <w:highlight w:val="yellow"/>
        </w:rPr>
        <w:t>metalowy stelaż, podtrzymujący blat na całej długości i szerokości</w:t>
      </w:r>
      <w:r>
        <w:rPr>
          <w:rFonts w:ascii="Cambria" w:hAnsi="Cambria"/>
          <w:sz w:val="20"/>
          <w:szCs w:val="20"/>
        </w:rPr>
        <w:t xml:space="preserve"> </w:t>
      </w:r>
    </w:p>
    <w:p w:rsidR="00570A39" w:rsidRPr="00E61299" w:rsidRDefault="00570A39" w:rsidP="00E61299">
      <w:pPr>
        <w:pStyle w:val="Akapitzlist"/>
        <w:numPr>
          <w:ilvl w:val="0"/>
          <w:numId w:val="9"/>
        </w:numPr>
        <w:tabs>
          <w:tab w:val="left" w:pos="0"/>
        </w:tabs>
        <w:spacing w:after="0"/>
        <w:ind w:left="714" w:hanging="357"/>
        <w:jc w:val="both"/>
        <w:rPr>
          <w:rFonts w:ascii="Cambria" w:hAnsi="Cambria"/>
          <w:sz w:val="20"/>
          <w:szCs w:val="20"/>
        </w:rPr>
      </w:pPr>
      <w:r w:rsidRPr="00E61299">
        <w:rPr>
          <w:rFonts w:ascii="Cambria" w:hAnsi="Cambria"/>
          <w:sz w:val="20"/>
          <w:szCs w:val="20"/>
        </w:rPr>
        <w:t>minimum 2 łączniki umożliwiające połączenie stołu nr 1 ze stołem nr 2</w:t>
      </w:r>
    </w:p>
    <w:p w:rsidR="00570A39" w:rsidRPr="00570A39" w:rsidRDefault="00570A39" w:rsidP="00E61299">
      <w:pPr>
        <w:widowControl/>
        <w:numPr>
          <w:ilvl w:val="0"/>
          <w:numId w:val="9"/>
        </w:numPr>
        <w:tabs>
          <w:tab w:val="left" w:pos="0"/>
        </w:tabs>
        <w:suppressAutoHyphens w:val="0"/>
        <w:autoSpaceDN/>
        <w:ind w:left="714" w:hanging="357"/>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7 wysuwalnych półek pod klawiaturę</w:t>
      </w:r>
    </w:p>
    <w:p w:rsidR="00570A39" w:rsidRPr="00570A39" w:rsidRDefault="00570A39" w:rsidP="00570A39">
      <w:pPr>
        <w:widowControl/>
        <w:tabs>
          <w:tab w:val="left" w:pos="0"/>
        </w:tabs>
        <w:suppressAutoHyphens w:val="0"/>
        <w:autoSpaceDN/>
        <w:jc w:val="both"/>
        <w:textAlignment w:val="auto"/>
        <w:rPr>
          <w:rFonts w:ascii="Cambria" w:eastAsia="Times New Roman" w:hAnsi="Cambria" w:cs="Calibri"/>
          <w:kern w:val="0"/>
          <w:sz w:val="20"/>
          <w:szCs w:val="20"/>
          <w:lang w:eastAsia="en-US"/>
        </w:rPr>
      </w:pPr>
    </w:p>
    <w:p w:rsidR="00570A39" w:rsidRPr="00570A39" w:rsidRDefault="00570A39" w:rsidP="00570A39">
      <w:pPr>
        <w:widowControl/>
        <w:numPr>
          <w:ilvl w:val="0"/>
          <w:numId w:val="8"/>
        </w:numPr>
        <w:tabs>
          <w:tab w:val="left" w:pos="0"/>
        </w:tabs>
        <w:suppressAutoHyphens w:val="0"/>
        <w:autoSpaceDN/>
        <w:ind w:left="284" w:hanging="284"/>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Wielostanowiskowy stół komputerowy(7 stanowisk):</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długość 5700mm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szerokość 700mm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wysokość: 760mm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grubość blatu: minimum 35mm</w:t>
      </w:r>
    </w:p>
    <w:p w:rsidR="00E61299" w:rsidRPr="00E61299" w:rsidRDefault="00570A39" w:rsidP="00E61299">
      <w:pPr>
        <w:widowControl/>
        <w:numPr>
          <w:ilvl w:val="0"/>
          <w:numId w:val="9"/>
        </w:numPr>
        <w:tabs>
          <w:tab w:val="left" w:pos="0"/>
        </w:tabs>
        <w:suppressAutoHyphens w:val="0"/>
        <w:autoSpaceDN/>
        <w:ind w:left="714" w:hanging="357"/>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otwory kablowe umożliwiające podłączenie jednostek centralnych umiejscowionych na mobilnych podstawach, na podłodze, w dowolnym miejscu do gniazd prądowych i sieciowych znajdujących się powyżej poziomu blatu</w:t>
      </w:r>
      <w:bookmarkStart w:id="6" w:name="_GoBack"/>
      <w:bookmarkEnd w:id="6"/>
    </w:p>
    <w:p w:rsidR="00E61299" w:rsidRPr="00E61299" w:rsidRDefault="00E61299" w:rsidP="00E61299">
      <w:pPr>
        <w:pStyle w:val="Akapitzlist"/>
        <w:numPr>
          <w:ilvl w:val="0"/>
          <w:numId w:val="9"/>
        </w:numPr>
        <w:tabs>
          <w:tab w:val="left" w:pos="0"/>
        </w:tabs>
        <w:spacing w:after="0"/>
        <w:ind w:left="714" w:hanging="357"/>
        <w:jc w:val="both"/>
        <w:rPr>
          <w:rFonts w:ascii="Cambria" w:hAnsi="Cambria"/>
          <w:sz w:val="20"/>
          <w:szCs w:val="20"/>
        </w:rPr>
      </w:pPr>
      <w:r w:rsidRPr="00E61299">
        <w:rPr>
          <w:rFonts w:ascii="Cambria" w:hAnsi="Cambria"/>
          <w:sz w:val="20"/>
          <w:szCs w:val="20"/>
          <w:highlight w:val="yellow"/>
        </w:rPr>
        <w:t>metalowy stelaż, podtrzymujący blat na całej długości i szerokości</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7 wysuwalnych półek pod klawiaturę</w:t>
      </w:r>
    </w:p>
    <w:p w:rsidR="00570A39" w:rsidRPr="00570A39" w:rsidRDefault="00570A39" w:rsidP="00570A39">
      <w:pPr>
        <w:widowControl/>
        <w:tabs>
          <w:tab w:val="left" w:pos="0"/>
        </w:tabs>
        <w:suppressAutoHyphens w:val="0"/>
        <w:autoSpaceDN/>
        <w:jc w:val="both"/>
        <w:textAlignment w:val="auto"/>
        <w:rPr>
          <w:rFonts w:ascii="Cambria" w:eastAsia="Times New Roman" w:hAnsi="Cambria" w:cs="Calibri"/>
          <w:kern w:val="0"/>
          <w:sz w:val="20"/>
          <w:szCs w:val="20"/>
          <w:lang w:eastAsia="en-US"/>
        </w:rPr>
      </w:pPr>
    </w:p>
    <w:p w:rsidR="00570A39" w:rsidRPr="00570A39" w:rsidRDefault="00570A39" w:rsidP="00570A39">
      <w:pPr>
        <w:widowControl/>
        <w:numPr>
          <w:ilvl w:val="0"/>
          <w:numId w:val="8"/>
        </w:numPr>
        <w:tabs>
          <w:tab w:val="left" w:pos="0"/>
        </w:tabs>
        <w:suppressAutoHyphens w:val="0"/>
        <w:autoSpaceDN/>
        <w:ind w:left="284" w:hanging="284"/>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Wielostanowiskowy stół komputerowy (3 stanowiska):</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długość 4100mm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szerokość 700mm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wysokość: 760mm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grubość blatu: minimum 35mm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otwory kablowe umożliwiające podłączenie jednostek centralnych umiejscowionych na mobilnych podstawach, na podłodze, w dowolnym miejscu do gniazd prądowych i sieciowych znajdujących się powyżej poziomu blatu</w:t>
      </w:r>
    </w:p>
    <w:p w:rsidR="00E61299" w:rsidRPr="00E61299" w:rsidRDefault="00E61299" w:rsidP="00E61299">
      <w:pPr>
        <w:pStyle w:val="Akapitzlist"/>
        <w:numPr>
          <w:ilvl w:val="0"/>
          <w:numId w:val="9"/>
        </w:numPr>
        <w:tabs>
          <w:tab w:val="left" w:pos="0"/>
        </w:tabs>
        <w:spacing w:after="0"/>
        <w:ind w:left="714" w:hanging="357"/>
        <w:jc w:val="both"/>
        <w:rPr>
          <w:rFonts w:ascii="Cambria" w:hAnsi="Cambria"/>
          <w:sz w:val="20"/>
          <w:szCs w:val="20"/>
        </w:rPr>
      </w:pPr>
      <w:r w:rsidRPr="00E61299">
        <w:rPr>
          <w:rFonts w:ascii="Cambria" w:hAnsi="Cambria"/>
          <w:sz w:val="20"/>
          <w:szCs w:val="20"/>
          <w:highlight w:val="yellow"/>
        </w:rPr>
        <w:t>metalowy stelaż, podtrzymujący blat na całej długości i szerokości</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minimum 2 łączniki umożliwiające połączenie stołu nr 3 ze stołem nr 2</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3 wysuwalne półki pod klawiaturę</w:t>
      </w:r>
    </w:p>
    <w:p w:rsidR="00570A39" w:rsidRPr="00570A39" w:rsidRDefault="00570A39" w:rsidP="00570A39">
      <w:pPr>
        <w:widowControl/>
        <w:tabs>
          <w:tab w:val="left" w:pos="0"/>
        </w:tabs>
        <w:suppressAutoHyphens w:val="0"/>
        <w:autoSpaceDN/>
        <w:jc w:val="both"/>
        <w:textAlignment w:val="auto"/>
        <w:rPr>
          <w:rFonts w:ascii="Cambria" w:eastAsia="Times New Roman" w:hAnsi="Cambria" w:cs="Calibri"/>
          <w:kern w:val="0"/>
          <w:sz w:val="20"/>
          <w:szCs w:val="20"/>
          <w:lang w:eastAsia="en-US"/>
        </w:rPr>
      </w:pPr>
    </w:p>
    <w:p w:rsidR="00570A39" w:rsidRPr="00570A39" w:rsidRDefault="00570A39" w:rsidP="00570A39">
      <w:pPr>
        <w:widowControl/>
        <w:numPr>
          <w:ilvl w:val="0"/>
          <w:numId w:val="8"/>
        </w:numPr>
        <w:tabs>
          <w:tab w:val="left" w:pos="0"/>
        </w:tabs>
        <w:suppressAutoHyphens w:val="0"/>
        <w:autoSpaceDN/>
        <w:ind w:left="284" w:hanging="284"/>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Biurko nauczycielskie</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długość minimum: 1600mm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szerokość minimum: 700mm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wysokość: 770mm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zamykana na klucz szafka z dwoma półkami</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4 szuflady, w tym 2 zamykane na klucz</w:t>
      </w:r>
    </w:p>
    <w:p w:rsidR="00570A39" w:rsidRPr="00570A39" w:rsidRDefault="00570A39" w:rsidP="00570A39">
      <w:pPr>
        <w:widowControl/>
        <w:tabs>
          <w:tab w:val="left" w:pos="0"/>
        </w:tabs>
        <w:suppressAutoHyphens w:val="0"/>
        <w:autoSpaceDN/>
        <w:jc w:val="both"/>
        <w:textAlignment w:val="auto"/>
        <w:rPr>
          <w:rFonts w:ascii="Cambria" w:eastAsia="Times New Roman" w:hAnsi="Cambria" w:cs="Calibri"/>
          <w:kern w:val="0"/>
          <w:sz w:val="20"/>
          <w:szCs w:val="20"/>
          <w:lang w:eastAsia="en-US"/>
        </w:rPr>
      </w:pPr>
    </w:p>
    <w:p w:rsidR="00570A39" w:rsidRPr="00570A39" w:rsidRDefault="00570A39" w:rsidP="00570A39">
      <w:pPr>
        <w:widowControl/>
        <w:numPr>
          <w:ilvl w:val="0"/>
          <w:numId w:val="8"/>
        </w:numPr>
        <w:tabs>
          <w:tab w:val="left" w:pos="0"/>
        </w:tabs>
        <w:suppressAutoHyphens w:val="0"/>
        <w:autoSpaceDN/>
        <w:ind w:left="284" w:hanging="284"/>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Stoły szkolne (ławki), sztuk 6</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długość 1300mm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szerokość 700mm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wysokość: 760mm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grubość blatu: minimum 35mm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6 nóg stołowych, czarny mat</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łączniki umożliwiające połączenie ławek w jedną całość zgodnie z załączonym rysunkiem ogólnym projektu</w:t>
      </w:r>
    </w:p>
    <w:p w:rsidR="00570A39" w:rsidRPr="00570A39" w:rsidRDefault="00570A39" w:rsidP="00570A39">
      <w:pPr>
        <w:widowControl/>
        <w:tabs>
          <w:tab w:val="left" w:pos="0"/>
        </w:tabs>
        <w:suppressAutoHyphens w:val="0"/>
        <w:autoSpaceDN/>
        <w:jc w:val="both"/>
        <w:textAlignment w:val="auto"/>
        <w:rPr>
          <w:rFonts w:ascii="Cambria" w:eastAsia="Times New Roman" w:hAnsi="Cambria" w:cs="Calibri"/>
          <w:kern w:val="0"/>
          <w:sz w:val="20"/>
          <w:szCs w:val="20"/>
          <w:lang w:eastAsia="en-US"/>
        </w:rPr>
      </w:pPr>
    </w:p>
    <w:p w:rsidR="00570A39" w:rsidRPr="00570A39" w:rsidRDefault="00570A39" w:rsidP="00570A39">
      <w:pPr>
        <w:widowControl/>
        <w:numPr>
          <w:ilvl w:val="0"/>
          <w:numId w:val="8"/>
        </w:numPr>
        <w:tabs>
          <w:tab w:val="left" w:pos="0"/>
        </w:tabs>
        <w:suppressAutoHyphens w:val="0"/>
        <w:autoSpaceDN/>
        <w:ind w:left="284" w:hanging="284"/>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Komoda dwudrzwiowa</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długość 800mm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szerokość 500mm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wysokość: 770mm</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2 półki z możliwością 3-stopniowej regulacji ich wysokości</w:t>
      </w:r>
    </w:p>
    <w:p w:rsidR="00570A39" w:rsidRPr="00570A39" w:rsidRDefault="00570A39" w:rsidP="00570A39">
      <w:pPr>
        <w:widowControl/>
        <w:numPr>
          <w:ilvl w:val="0"/>
          <w:numId w:val="9"/>
        </w:numPr>
        <w:tabs>
          <w:tab w:val="left" w:pos="0"/>
        </w:tabs>
        <w:suppressAutoHyphens w:val="0"/>
        <w:autoSpaceDN/>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zamykana na klucz</w:t>
      </w:r>
    </w:p>
    <w:p w:rsidR="00570A39" w:rsidRPr="00570A39" w:rsidRDefault="00570A39" w:rsidP="00570A39">
      <w:pPr>
        <w:widowControl/>
        <w:tabs>
          <w:tab w:val="left" w:pos="0"/>
        </w:tabs>
        <w:suppressAutoHyphens w:val="0"/>
        <w:autoSpaceDN/>
        <w:ind w:left="283"/>
        <w:jc w:val="both"/>
        <w:textAlignment w:val="auto"/>
        <w:rPr>
          <w:rFonts w:ascii="Cambria" w:eastAsia="Times New Roman" w:hAnsi="Cambria" w:cs="Calibri"/>
          <w:kern w:val="0"/>
          <w:sz w:val="20"/>
          <w:szCs w:val="20"/>
          <w:lang w:eastAsia="en-US"/>
        </w:rPr>
      </w:pPr>
    </w:p>
    <w:p w:rsidR="00570A39" w:rsidRPr="006840E0" w:rsidRDefault="00570A39" w:rsidP="00570A39">
      <w:pPr>
        <w:widowControl/>
        <w:numPr>
          <w:ilvl w:val="0"/>
          <w:numId w:val="8"/>
        </w:numPr>
        <w:tabs>
          <w:tab w:val="left" w:pos="0"/>
        </w:tabs>
        <w:suppressAutoHyphens w:val="0"/>
        <w:autoSpaceDN/>
        <w:ind w:left="284" w:hanging="284"/>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18 obrotowych foteli komputerowe spełniających wymagania przepisów BHP pracowni komputerowej, z tapicerką materiałową, o jednolitej kolorystyce (w tym jeden nauczycielski), o podłokietnikach umożliwiających wsunięcie ich wraz z krzesłem do oparcia pod blaty wielostanowiskowych stołów komputerowych z dopuszczalnym maksymalnym obciążeniem krzesła minimum 120kg</w:t>
      </w:r>
    </w:p>
    <w:p w:rsidR="00570A39" w:rsidRPr="00570A39" w:rsidRDefault="00570A39" w:rsidP="00570A39">
      <w:pPr>
        <w:widowControl/>
        <w:tabs>
          <w:tab w:val="left" w:pos="0"/>
        </w:tabs>
        <w:suppressAutoHyphens w:val="0"/>
        <w:autoSpaceDN/>
        <w:ind w:left="284"/>
        <w:jc w:val="both"/>
        <w:textAlignment w:val="auto"/>
        <w:rPr>
          <w:rFonts w:ascii="Cambria" w:eastAsia="Times New Roman" w:hAnsi="Cambria" w:cs="Calibri"/>
          <w:kern w:val="0"/>
          <w:sz w:val="20"/>
          <w:szCs w:val="20"/>
          <w:lang w:eastAsia="en-US"/>
        </w:rPr>
      </w:pPr>
    </w:p>
    <w:p w:rsidR="00570A39" w:rsidRPr="006840E0" w:rsidRDefault="00570A39" w:rsidP="00570A39">
      <w:pPr>
        <w:widowControl/>
        <w:numPr>
          <w:ilvl w:val="0"/>
          <w:numId w:val="8"/>
        </w:numPr>
        <w:tabs>
          <w:tab w:val="left" w:pos="0"/>
        </w:tabs>
        <w:suppressAutoHyphens w:val="0"/>
        <w:autoSpaceDN/>
        <w:ind w:left="284" w:hanging="284"/>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12 krzeseł szkolnych z siedziskiem drewnianym o standardowych rozmiarach, dostosowanych dla uczniów w wieku 16-19 lat</w:t>
      </w:r>
    </w:p>
    <w:p w:rsidR="00570A39" w:rsidRPr="00570A39" w:rsidRDefault="00570A39" w:rsidP="00570A39">
      <w:pPr>
        <w:widowControl/>
        <w:tabs>
          <w:tab w:val="left" w:pos="0"/>
        </w:tabs>
        <w:suppressAutoHyphens w:val="0"/>
        <w:autoSpaceDN/>
        <w:jc w:val="both"/>
        <w:textAlignment w:val="auto"/>
        <w:rPr>
          <w:rFonts w:ascii="Cambria" w:eastAsia="Times New Roman" w:hAnsi="Cambria" w:cs="Calibri"/>
          <w:kern w:val="0"/>
          <w:sz w:val="20"/>
          <w:szCs w:val="20"/>
          <w:lang w:eastAsia="en-US"/>
        </w:rPr>
      </w:pPr>
    </w:p>
    <w:p w:rsidR="00570A39" w:rsidRPr="006840E0" w:rsidRDefault="00570A39" w:rsidP="00570A39">
      <w:pPr>
        <w:widowControl/>
        <w:numPr>
          <w:ilvl w:val="0"/>
          <w:numId w:val="8"/>
        </w:numPr>
        <w:tabs>
          <w:tab w:val="left" w:pos="0"/>
        </w:tabs>
        <w:suppressAutoHyphens w:val="0"/>
        <w:autoSpaceDN/>
        <w:ind w:left="284" w:hanging="284"/>
        <w:jc w:val="both"/>
        <w:textAlignment w:val="auto"/>
        <w:rPr>
          <w:rFonts w:ascii="Cambria" w:eastAsia="Times New Roman" w:hAnsi="Cambria" w:cs="Calibri"/>
          <w:kern w:val="0"/>
          <w:sz w:val="20"/>
          <w:szCs w:val="20"/>
          <w:lang w:eastAsia="en-US"/>
        </w:rPr>
      </w:pPr>
      <w:r w:rsidRPr="00570A39">
        <w:rPr>
          <w:rFonts w:ascii="Cambria" w:eastAsia="Times New Roman" w:hAnsi="Cambria" w:cs="Calibri"/>
          <w:kern w:val="0"/>
          <w:sz w:val="20"/>
          <w:szCs w:val="20"/>
          <w:lang w:eastAsia="en-US"/>
        </w:rPr>
        <w:t>17 mobilnych podstaw pod stację roboczą komputera stacjonarnego, o długości i szerokości dostosowanej do standardowych wielkości obudów komputerów stacjonarnych, z obramowaniem uniemożliwiającym ześlizgnięcie się jednostki z podstawy, każda podstawa umieszczona na 4</w:t>
      </w:r>
      <w:r w:rsidRPr="006840E0">
        <w:rPr>
          <w:rFonts w:ascii="Cambria" w:eastAsia="Times New Roman" w:hAnsi="Cambria" w:cs="Calibri"/>
          <w:kern w:val="0"/>
          <w:sz w:val="20"/>
          <w:szCs w:val="20"/>
          <w:lang w:eastAsia="en-US"/>
        </w:rPr>
        <w:t xml:space="preserve"> </w:t>
      </w:r>
      <w:r w:rsidRPr="00570A39">
        <w:rPr>
          <w:rFonts w:ascii="Cambria" w:eastAsia="Times New Roman" w:hAnsi="Cambria" w:cs="Calibri"/>
          <w:kern w:val="0"/>
          <w:sz w:val="20"/>
          <w:szCs w:val="20"/>
          <w:lang w:eastAsia="en-US"/>
        </w:rPr>
        <w:t>kółkach</w:t>
      </w:r>
    </w:p>
    <w:p w:rsidR="00570A39" w:rsidRPr="00570A39" w:rsidRDefault="00570A39" w:rsidP="00570A39">
      <w:pPr>
        <w:widowControl/>
        <w:tabs>
          <w:tab w:val="left" w:pos="0"/>
        </w:tabs>
        <w:suppressAutoHyphens w:val="0"/>
        <w:autoSpaceDN/>
        <w:jc w:val="both"/>
        <w:textAlignment w:val="auto"/>
        <w:rPr>
          <w:rFonts w:ascii="Cambria" w:eastAsia="Times New Roman" w:hAnsi="Cambria" w:cs="Calibri"/>
          <w:kern w:val="0"/>
          <w:sz w:val="20"/>
          <w:szCs w:val="20"/>
          <w:lang w:eastAsia="en-US"/>
        </w:rPr>
      </w:pPr>
    </w:p>
    <w:p w:rsidR="00570A39" w:rsidRPr="006840E0" w:rsidRDefault="00570A39" w:rsidP="00570A39">
      <w:pPr>
        <w:pStyle w:val="Akapitzlist"/>
        <w:numPr>
          <w:ilvl w:val="0"/>
          <w:numId w:val="8"/>
        </w:numPr>
        <w:tabs>
          <w:tab w:val="left" w:pos="0"/>
        </w:tabs>
        <w:ind w:left="284"/>
        <w:jc w:val="both"/>
        <w:rPr>
          <w:rFonts w:ascii="Cambria" w:hAnsi="Cambria"/>
          <w:sz w:val="20"/>
          <w:szCs w:val="20"/>
        </w:rPr>
      </w:pPr>
      <w:r w:rsidRPr="006840E0">
        <w:rPr>
          <w:rFonts w:ascii="Cambria" w:hAnsi="Cambria"/>
          <w:sz w:val="20"/>
          <w:szCs w:val="20"/>
        </w:rPr>
        <w:t>18 mobilnych, ustawianych pomiędzy stanowiskami przegród, uniemożliwiających uczniom zaglądanie na sąsiedni monitor, wysokość: 500mm, szerokość: 700mm, zaokrąglony górny, frontowy narożnik (ćwiartka koła o promieniu 100mm)</w:t>
      </w:r>
    </w:p>
    <w:p w:rsidR="00443346" w:rsidRDefault="00C74C5E">
      <w:pPr>
        <w:pStyle w:val="Standard"/>
      </w:pPr>
      <w:r>
        <w:rPr>
          <w:noProof/>
          <w:sz w:val="32"/>
          <w:szCs w:val="32"/>
        </w:rPr>
        <w:lastRenderedPageBreak/>
        <w:drawing>
          <wp:anchor distT="0" distB="0" distL="0" distR="0" simplePos="0" relativeHeight="251659264" behindDoc="0" locked="0" layoutInCell="1" allowOverlap="1" wp14:anchorId="6CFFCBCF" wp14:editId="2C3AA77C">
            <wp:simplePos x="0" y="0"/>
            <wp:positionH relativeFrom="margin">
              <wp:align>right</wp:align>
            </wp:positionH>
            <wp:positionV relativeFrom="paragraph">
              <wp:posOffset>219075</wp:posOffset>
            </wp:positionV>
            <wp:extent cx="6555105" cy="6572250"/>
            <wp:effectExtent l="0" t="0" r="0" b="0"/>
            <wp:wrapSquare wrapText="largest"/>
            <wp:docPr id="3"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pic:cNvPicPr>
                      <a:picLocks noChangeAspect="1" noChangeArrowheads="1"/>
                    </pic:cNvPicPr>
                  </pic:nvPicPr>
                  <pic:blipFill>
                    <a:blip r:embed="rId8"/>
                    <a:stretch>
                      <a:fillRect/>
                    </a:stretch>
                  </pic:blipFill>
                  <pic:spPr bwMode="auto">
                    <a:xfrm>
                      <a:off x="0" y="0"/>
                      <a:ext cx="6555105" cy="6572250"/>
                    </a:xfrm>
                    <a:prstGeom prst="rect">
                      <a:avLst/>
                    </a:prstGeom>
                  </pic:spPr>
                </pic:pic>
              </a:graphicData>
            </a:graphic>
            <wp14:sizeRelH relativeFrom="margin">
              <wp14:pctWidth>0</wp14:pctWidth>
            </wp14:sizeRelH>
            <wp14:sizeRelV relativeFrom="margin">
              <wp14:pctHeight>0</wp14:pctHeight>
            </wp14:sizeRelV>
          </wp:anchor>
        </w:drawing>
      </w:r>
    </w:p>
    <w:p w:rsidR="00443346" w:rsidRDefault="00443346">
      <w:pPr>
        <w:pStyle w:val="Standard"/>
      </w:pPr>
    </w:p>
    <w:p w:rsidR="00443346" w:rsidRDefault="00443346">
      <w:pPr>
        <w:pStyle w:val="Standard"/>
      </w:pPr>
    </w:p>
    <w:p w:rsidR="00443346" w:rsidRDefault="00443346">
      <w:pPr>
        <w:pStyle w:val="Standard"/>
      </w:pPr>
    </w:p>
    <w:sectPr w:rsidR="00443346" w:rsidSect="004676C2">
      <w:headerReference w:type="default" r:id="rId9"/>
      <w:footerReference w:type="default" r:id="rId10"/>
      <w:pgSz w:w="12240" w:h="15840"/>
      <w:pgMar w:top="1134" w:right="1134" w:bottom="1134" w:left="1276" w:header="102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A4A" w:rsidRDefault="00D02A4A">
      <w:r>
        <w:separator/>
      </w:r>
    </w:p>
  </w:endnote>
  <w:endnote w:type="continuationSeparator" w:id="0">
    <w:p w:rsidR="00D02A4A" w:rsidRDefault="00D0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3FD" w:rsidRDefault="007E13FD">
    <w:pPr>
      <w:pStyle w:val="Stopka"/>
    </w:pPr>
    <w:r>
      <w:rPr>
        <w:noProof/>
      </w:rPr>
      <w:drawing>
        <wp:anchor distT="0" distB="0" distL="114300" distR="114300" simplePos="0" relativeHeight="251660288" behindDoc="0" locked="0" layoutInCell="0" allowOverlap="1">
          <wp:simplePos x="0" y="0"/>
          <wp:positionH relativeFrom="page">
            <wp:posOffset>342900</wp:posOffset>
          </wp:positionH>
          <wp:positionV relativeFrom="page">
            <wp:posOffset>9422765</wp:posOffset>
          </wp:positionV>
          <wp:extent cx="7023735" cy="194310"/>
          <wp:effectExtent l="0" t="0" r="5715" b="0"/>
          <wp:wrapNone/>
          <wp:docPr id="5" name="Obraz 5"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A4A" w:rsidRDefault="00D02A4A">
      <w:r>
        <w:rPr>
          <w:color w:val="000000"/>
        </w:rPr>
        <w:separator/>
      </w:r>
    </w:p>
  </w:footnote>
  <w:footnote w:type="continuationSeparator" w:id="0">
    <w:p w:rsidR="00D02A4A" w:rsidRDefault="00D0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3FD" w:rsidRDefault="007E13FD">
    <w:pPr>
      <w:pStyle w:val="Nagwek"/>
    </w:pPr>
    <w:r>
      <w:rPr>
        <w:noProof/>
      </w:rPr>
      <w:drawing>
        <wp:anchor distT="0" distB="0" distL="114300" distR="114300" simplePos="0" relativeHeight="251659264" behindDoc="0" locked="0" layoutInCell="0" allowOverlap="1">
          <wp:simplePos x="0" y="0"/>
          <wp:positionH relativeFrom="page">
            <wp:posOffset>346075</wp:posOffset>
          </wp:positionH>
          <wp:positionV relativeFrom="page">
            <wp:posOffset>113665</wp:posOffset>
          </wp:positionV>
          <wp:extent cx="7019925" cy="752475"/>
          <wp:effectExtent l="0" t="0" r="9525" b="9525"/>
          <wp:wrapNone/>
          <wp:docPr id="4" name="Obraz 4"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rsidR="007E13FD" w:rsidRDefault="007E13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199"/>
    <w:multiLevelType w:val="hybridMultilevel"/>
    <w:tmpl w:val="9904CE5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B0A09C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B55E17"/>
    <w:multiLevelType w:val="hybridMultilevel"/>
    <w:tmpl w:val="05642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4" w15:restartNumberingAfterBreak="0">
    <w:nsid w:val="4B9C5760"/>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6" w15:restartNumberingAfterBreak="0">
    <w:nsid w:val="53827A97"/>
    <w:multiLevelType w:val="hybridMultilevel"/>
    <w:tmpl w:val="897A8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6650C53"/>
    <w:multiLevelType w:val="hybridMultilevel"/>
    <w:tmpl w:val="E7649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A8F4467"/>
    <w:multiLevelType w:val="hybridMultilevel"/>
    <w:tmpl w:val="84505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0" w15:restartNumberingAfterBreak="0">
    <w:nsid w:val="7AFD7C8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9"/>
  </w:num>
  <w:num w:numId="5">
    <w:abstractNumId w:val="1"/>
  </w:num>
  <w:num w:numId="6">
    <w:abstractNumId w:val="0"/>
  </w:num>
  <w:num w:numId="7">
    <w:abstractNumId w:val="8"/>
  </w:num>
  <w:num w:numId="8">
    <w:abstractNumId w:val="2"/>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06A"/>
    <w:rsid w:val="000024A2"/>
    <w:rsid w:val="000039B9"/>
    <w:rsid w:val="00040472"/>
    <w:rsid w:val="00071643"/>
    <w:rsid w:val="000C4B35"/>
    <w:rsid w:val="000C6137"/>
    <w:rsid w:val="000E6C96"/>
    <w:rsid w:val="0010406A"/>
    <w:rsid w:val="001353C7"/>
    <w:rsid w:val="00136D98"/>
    <w:rsid w:val="00154486"/>
    <w:rsid w:val="001C1D39"/>
    <w:rsid w:val="001D6765"/>
    <w:rsid w:val="00201B0B"/>
    <w:rsid w:val="002832B3"/>
    <w:rsid w:val="002B0544"/>
    <w:rsid w:val="002F45B6"/>
    <w:rsid w:val="00307211"/>
    <w:rsid w:val="00344AED"/>
    <w:rsid w:val="00354452"/>
    <w:rsid w:val="00361352"/>
    <w:rsid w:val="00374A0C"/>
    <w:rsid w:val="00380BB6"/>
    <w:rsid w:val="003A7F35"/>
    <w:rsid w:val="003B5DBD"/>
    <w:rsid w:val="003C294F"/>
    <w:rsid w:val="003E23CE"/>
    <w:rsid w:val="003E3EA6"/>
    <w:rsid w:val="003E6233"/>
    <w:rsid w:val="00443346"/>
    <w:rsid w:val="004676C2"/>
    <w:rsid w:val="004F01F8"/>
    <w:rsid w:val="0051065F"/>
    <w:rsid w:val="00543D4E"/>
    <w:rsid w:val="00570A39"/>
    <w:rsid w:val="00580AFA"/>
    <w:rsid w:val="005868D6"/>
    <w:rsid w:val="0059605B"/>
    <w:rsid w:val="00597CDF"/>
    <w:rsid w:val="005D34E0"/>
    <w:rsid w:val="005E14D0"/>
    <w:rsid w:val="005F274E"/>
    <w:rsid w:val="00603B68"/>
    <w:rsid w:val="006840E0"/>
    <w:rsid w:val="006B17C3"/>
    <w:rsid w:val="006B34F6"/>
    <w:rsid w:val="006E01D0"/>
    <w:rsid w:val="006E3655"/>
    <w:rsid w:val="006E6198"/>
    <w:rsid w:val="006F089D"/>
    <w:rsid w:val="00700CA5"/>
    <w:rsid w:val="007215D9"/>
    <w:rsid w:val="007218B2"/>
    <w:rsid w:val="0077005B"/>
    <w:rsid w:val="007A48E1"/>
    <w:rsid w:val="007D43D0"/>
    <w:rsid w:val="007E13FD"/>
    <w:rsid w:val="007E1E7C"/>
    <w:rsid w:val="00821CBB"/>
    <w:rsid w:val="00823CAA"/>
    <w:rsid w:val="00831601"/>
    <w:rsid w:val="0083178B"/>
    <w:rsid w:val="00856257"/>
    <w:rsid w:val="00890CC7"/>
    <w:rsid w:val="008B3563"/>
    <w:rsid w:val="008C1136"/>
    <w:rsid w:val="008E289D"/>
    <w:rsid w:val="008F54AB"/>
    <w:rsid w:val="00910027"/>
    <w:rsid w:val="0092620E"/>
    <w:rsid w:val="00946D8F"/>
    <w:rsid w:val="00947ECC"/>
    <w:rsid w:val="0099406A"/>
    <w:rsid w:val="009B29A7"/>
    <w:rsid w:val="009B32F3"/>
    <w:rsid w:val="009C4969"/>
    <w:rsid w:val="009D3D81"/>
    <w:rsid w:val="009E0AC6"/>
    <w:rsid w:val="009E7766"/>
    <w:rsid w:val="009F15CD"/>
    <w:rsid w:val="009F2EFA"/>
    <w:rsid w:val="009F7296"/>
    <w:rsid w:val="00A05676"/>
    <w:rsid w:val="00A347EE"/>
    <w:rsid w:val="00A419BB"/>
    <w:rsid w:val="00A83488"/>
    <w:rsid w:val="00AB12DF"/>
    <w:rsid w:val="00AB55F2"/>
    <w:rsid w:val="00AB5989"/>
    <w:rsid w:val="00AD2144"/>
    <w:rsid w:val="00AD2D2D"/>
    <w:rsid w:val="00B0558C"/>
    <w:rsid w:val="00B13A6D"/>
    <w:rsid w:val="00B20098"/>
    <w:rsid w:val="00B26DEA"/>
    <w:rsid w:val="00B3283B"/>
    <w:rsid w:val="00B51008"/>
    <w:rsid w:val="00BB68F4"/>
    <w:rsid w:val="00BD0BAE"/>
    <w:rsid w:val="00BD0D02"/>
    <w:rsid w:val="00BD61C6"/>
    <w:rsid w:val="00BE3B5C"/>
    <w:rsid w:val="00BF52AD"/>
    <w:rsid w:val="00C46F63"/>
    <w:rsid w:val="00C725C4"/>
    <w:rsid w:val="00C74C5E"/>
    <w:rsid w:val="00C839C0"/>
    <w:rsid w:val="00C86066"/>
    <w:rsid w:val="00C86BE9"/>
    <w:rsid w:val="00CC653A"/>
    <w:rsid w:val="00D02A4A"/>
    <w:rsid w:val="00D07EBB"/>
    <w:rsid w:val="00D2488E"/>
    <w:rsid w:val="00D326CD"/>
    <w:rsid w:val="00D705CB"/>
    <w:rsid w:val="00D76D20"/>
    <w:rsid w:val="00D93FD5"/>
    <w:rsid w:val="00DB7BF1"/>
    <w:rsid w:val="00DD7ED5"/>
    <w:rsid w:val="00E06112"/>
    <w:rsid w:val="00E45B51"/>
    <w:rsid w:val="00E61299"/>
    <w:rsid w:val="00E71862"/>
    <w:rsid w:val="00E84B02"/>
    <w:rsid w:val="00EB4347"/>
    <w:rsid w:val="00EF45B8"/>
    <w:rsid w:val="00F222EF"/>
    <w:rsid w:val="00F30D09"/>
    <w:rsid w:val="00FB68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A34A2"/>
  <w15:docId w15:val="{A2017F39-71E3-48AB-BEB1-F28B5BB5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612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61352"/>
  </w:style>
  <w:style w:type="paragraph" w:customStyle="1" w:styleId="Heading">
    <w:name w:val="Heading"/>
    <w:basedOn w:val="Standard"/>
    <w:next w:val="Textbody"/>
    <w:rsid w:val="00361352"/>
    <w:pPr>
      <w:keepNext/>
      <w:spacing w:before="240" w:after="120"/>
    </w:pPr>
    <w:rPr>
      <w:rFonts w:ascii="Arial" w:hAnsi="Arial"/>
      <w:sz w:val="28"/>
      <w:szCs w:val="28"/>
    </w:rPr>
  </w:style>
  <w:style w:type="paragraph" w:customStyle="1" w:styleId="Textbody">
    <w:name w:val="Text body"/>
    <w:basedOn w:val="Standard"/>
    <w:rsid w:val="00361352"/>
    <w:pPr>
      <w:spacing w:after="120"/>
    </w:pPr>
  </w:style>
  <w:style w:type="paragraph" w:styleId="Lista">
    <w:name w:val="List"/>
    <w:basedOn w:val="Textbody"/>
    <w:rsid w:val="00361352"/>
  </w:style>
  <w:style w:type="paragraph" w:styleId="Legenda">
    <w:name w:val="caption"/>
    <w:basedOn w:val="Standard"/>
    <w:rsid w:val="00361352"/>
    <w:pPr>
      <w:suppressLineNumbers/>
      <w:spacing w:before="120" w:after="120"/>
    </w:pPr>
    <w:rPr>
      <w:i/>
      <w:iCs/>
    </w:rPr>
  </w:style>
  <w:style w:type="paragraph" w:customStyle="1" w:styleId="Index">
    <w:name w:val="Index"/>
    <w:basedOn w:val="Standard"/>
    <w:rsid w:val="00361352"/>
    <w:pPr>
      <w:suppressLineNumbers/>
    </w:pPr>
  </w:style>
  <w:style w:type="paragraph" w:styleId="Nagwek">
    <w:name w:val="header"/>
    <w:basedOn w:val="Normalny"/>
    <w:link w:val="NagwekZnak"/>
    <w:uiPriority w:val="99"/>
    <w:unhideWhenUsed/>
    <w:rsid w:val="007E13FD"/>
    <w:pPr>
      <w:tabs>
        <w:tab w:val="center" w:pos="4536"/>
        <w:tab w:val="right" w:pos="9072"/>
      </w:tabs>
    </w:pPr>
  </w:style>
  <w:style w:type="character" w:customStyle="1" w:styleId="NagwekZnak">
    <w:name w:val="Nagłówek Znak"/>
    <w:basedOn w:val="Domylnaczcionkaakapitu"/>
    <w:link w:val="Nagwek"/>
    <w:uiPriority w:val="99"/>
    <w:rsid w:val="007E13FD"/>
  </w:style>
  <w:style w:type="paragraph" w:styleId="Stopka">
    <w:name w:val="footer"/>
    <w:basedOn w:val="Normalny"/>
    <w:link w:val="StopkaZnak"/>
    <w:uiPriority w:val="99"/>
    <w:unhideWhenUsed/>
    <w:rsid w:val="007E13FD"/>
    <w:pPr>
      <w:tabs>
        <w:tab w:val="center" w:pos="4536"/>
        <w:tab w:val="right" w:pos="9072"/>
      </w:tabs>
    </w:pPr>
  </w:style>
  <w:style w:type="character" w:customStyle="1" w:styleId="StopkaZnak">
    <w:name w:val="Stopka Znak"/>
    <w:basedOn w:val="Domylnaczcionkaakapitu"/>
    <w:link w:val="Stopka"/>
    <w:uiPriority w:val="99"/>
    <w:rsid w:val="007E13FD"/>
  </w:style>
  <w:style w:type="paragraph" w:styleId="Tekstdymka">
    <w:name w:val="Balloon Text"/>
    <w:basedOn w:val="Normalny"/>
    <w:link w:val="TekstdymkaZnak"/>
    <w:uiPriority w:val="99"/>
    <w:semiHidden/>
    <w:unhideWhenUsed/>
    <w:rsid w:val="007E13FD"/>
    <w:rPr>
      <w:rFonts w:ascii="Tahoma" w:hAnsi="Tahoma"/>
      <w:sz w:val="16"/>
      <w:szCs w:val="16"/>
    </w:rPr>
  </w:style>
  <w:style w:type="character" w:customStyle="1" w:styleId="TekstdymkaZnak">
    <w:name w:val="Tekst dymka Znak"/>
    <w:basedOn w:val="Domylnaczcionkaakapitu"/>
    <w:link w:val="Tekstdymka"/>
    <w:uiPriority w:val="99"/>
    <w:semiHidden/>
    <w:rsid w:val="007E13FD"/>
    <w:rPr>
      <w:rFonts w:ascii="Tahoma" w:hAnsi="Tahoma"/>
      <w:sz w:val="16"/>
      <w:szCs w:val="16"/>
    </w:rPr>
  </w:style>
  <w:style w:type="paragraph" w:styleId="Akapitzlist">
    <w:name w:val="List Paragraph"/>
    <w:basedOn w:val="Normalny"/>
    <w:uiPriority w:val="34"/>
    <w:qFormat/>
    <w:rsid w:val="00821CBB"/>
    <w:pPr>
      <w:widowControl/>
      <w:suppressAutoHyphens w:val="0"/>
      <w:autoSpaceDN/>
      <w:spacing w:after="200" w:line="276" w:lineRule="auto"/>
      <w:ind w:left="720"/>
      <w:textAlignment w:val="auto"/>
    </w:pPr>
    <w:rPr>
      <w:rFonts w:ascii="Calibri" w:eastAsia="Times New Roman" w:hAnsi="Calibri" w:cs="Calibri"/>
      <w:kern w:val="0"/>
      <w:sz w:val="22"/>
      <w:szCs w:val="22"/>
      <w:lang w:eastAsia="en-US"/>
    </w:rPr>
  </w:style>
  <w:style w:type="paragraph" w:customStyle="1" w:styleId="Tekstpodstawowywcity21">
    <w:name w:val="Tekst podstawowy wcięty 21"/>
    <w:basedOn w:val="Normalny"/>
    <w:uiPriority w:val="99"/>
    <w:rsid w:val="00821CBB"/>
    <w:pPr>
      <w:widowControl/>
      <w:autoSpaceDN/>
      <w:spacing w:after="120" w:line="480" w:lineRule="auto"/>
      <w:ind w:left="283"/>
      <w:textAlignment w:val="auto"/>
    </w:pPr>
    <w:rPr>
      <w:rFonts w:ascii="Calibri" w:eastAsia="Times New Roman" w:hAnsi="Calibri" w:cs="Calibri"/>
      <w:kern w:val="0"/>
      <w:sz w:val="22"/>
      <w:szCs w:val="22"/>
      <w:lang w:eastAsia="ar-SA"/>
    </w:rPr>
  </w:style>
  <w:style w:type="paragraph" w:styleId="Tekstpodstawowywcity2">
    <w:name w:val="Body Text Indent 2"/>
    <w:basedOn w:val="Normalny"/>
    <w:link w:val="Tekstpodstawowywcity2Znak"/>
    <w:rsid w:val="00831601"/>
    <w:pPr>
      <w:widowControl/>
      <w:suppressAutoHyphens w:val="0"/>
      <w:autoSpaceDN/>
      <w:spacing w:after="120" w:line="480" w:lineRule="auto"/>
      <w:ind w:left="283"/>
      <w:textAlignment w:val="auto"/>
    </w:pPr>
    <w:rPr>
      <w:rFonts w:ascii="Calibri" w:eastAsia="Calibri" w:hAnsi="Calibri" w:cs="Times New Roman"/>
      <w:kern w:val="0"/>
      <w:sz w:val="22"/>
      <w:szCs w:val="22"/>
      <w:lang w:eastAsia="en-US"/>
    </w:rPr>
  </w:style>
  <w:style w:type="character" w:customStyle="1" w:styleId="Tekstpodstawowywcity2Znak">
    <w:name w:val="Tekst podstawowy wcięty 2 Znak"/>
    <w:basedOn w:val="Domylnaczcionkaakapitu"/>
    <w:link w:val="Tekstpodstawowywcity2"/>
    <w:rsid w:val="00831601"/>
    <w:rPr>
      <w:rFonts w:ascii="Calibri" w:eastAsia="Calibri" w:hAnsi="Calibri" w:cs="Times New Roman"/>
      <w:kern w:val="0"/>
      <w:sz w:val="22"/>
      <w:szCs w:val="22"/>
      <w:lang w:eastAsia="en-US"/>
    </w:rPr>
  </w:style>
  <w:style w:type="table" w:styleId="Tabela-Siatka">
    <w:name w:val="Table Grid"/>
    <w:basedOn w:val="Standardowy"/>
    <w:rsid w:val="00B0558C"/>
    <w:pPr>
      <w:widowControl/>
      <w:suppressAutoHyphens w:val="0"/>
      <w:autoSpaceDN/>
      <w:textAlignment w:val="auto"/>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7</Pages>
  <Words>1571</Words>
  <Characters>9432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Kamila Młyńczyk-Jędrzejewska</cp:lastModifiedBy>
  <cp:revision>21</cp:revision>
  <cp:lastPrinted>2018-03-08T10:58:00Z</cp:lastPrinted>
  <dcterms:created xsi:type="dcterms:W3CDTF">2017-10-12T08:00:00Z</dcterms:created>
  <dcterms:modified xsi:type="dcterms:W3CDTF">2018-03-12T13:33:00Z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