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="00060C80" w:rsidRPr="00C6553C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</w:t>
      </w:r>
      <w:r w:rsidR="00C6553C" w:rsidRPr="00C6553C">
        <w:rPr>
          <w:rFonts w:asciiTheme="majorHAnsi" w:hAnsiTheme="majorHAnsi"/>
          <w:b/>
          <w:i/>
          <w:sz w:val="20"/>
          <w:szCs w:val="20"/>
          <w:lang w:eastAsia="ar-SA"/>
        </w:rPr>
        <w:t>83</w:t>
      </w:r>
      <w:r w:rsidR="006C3982" w:rsidRPr="00C6553C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  <w:bookmarkStart w:id="0" w:name="_GoBack"/>
      <w:bookmarkEnd w:id="0"/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943305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943305" w:rsidRPr="00A8730A">
        <w:rPr>
          <w:rFonts w:asciiTheme="majorHAnsi" w:hAnsiTheme="majorHAnsi"/>
          <w:b/>
          <w:sz w:val="20"/>
          <w:szCs w:val="20"/>
        </w:rPr>
        <w:t>przeprowadzenie kursów/szkoleń doskonalących dla nauczycieli szkół ponadgimnazjalnych powiatu lęborskiego (PCE, ZSGŻiA, ZSMI) w ramach projektu „Kompetencje zawodowe inwestycją w przyszłość powiatu lęborskiego”</w:t>
      </w:r>
      <w:r w:rsidR="00943305" w:rsidRPr="007D6B71">
        <w:rPr>
          <w:rFonts w:ascii="Times New Roman" w:hAnsi="Times New Roman"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813C6B">
        <w:rPr>
          <w:rFonts w:asciiTheme="majorHAnsi" w:hAnsiTheme="majorHAnsi"/>
          <w:i/>
          <w:sz w:val="20"/>
          <w:szCs w:val="20"/>
          <w:u w:val="single"/>
        </w:rPr>
        <w:t>„</w:t>
      </w:r>
      <w:r w:rsidRPr="00813C6B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813C6B">
        <w:rPr>
          <w:rFonts w:asciiTheme="majorHAnsi" w:hAnsiTheme="majorHAnsi"/>
          <w:i/>
          <w:sz w:val="20"/>
          <w:szCs w:val="20"/>
        </w:rPr>
        <w:t>one w związku z postępowaniem o </w:t>
      </w:r>
      <w:r w:rsidRPr="00813C6B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813C6B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813C6B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813C6B">
        <w:rPr>
          <w:rFonts w:asciiTheme="majorHAnsi" w:hAnsiTheme="majorHAnsi"/>
          <w:i/>
          <w:sz w:val="20"/>
          <w:szCs w:val="20"/>
        </w:rPr>
        <w:t>no za przestępstwo popełnione w </w:t>
      </w:r>
      <w:r w:rsidRPr="00813C6B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</w:t>
      </w:r>
      <w:r w:rsidRPr="00813C6B">
        <w:rPr>
          <w:rFonts w:asciiTheme="majorHAnsi" w:hAnsiTheme="majorHAnsi"/>
          <w:i/>
          <w:sz w:val="20"/>
          <w:szCs w:val="20"/>
        </w:rPr>
        <w:lastRenderedPageBreak/>
        <w:t>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6) spółki komandytowe oraz spółki komandytowo-akcyjne, których komplementariusza prawomocnie skazano </w:t>
      </w:r>
      <w:r w:rsidRPr="00813C6B">
        <w:rPr>
          <w:rFonts w:asciiTheme="majorHAnsi" w:hAnsiTheme="majorHAnsi"/>
          <w:i/>
          <w:sz w:val="20"/>
          <w:szCs w:val="20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7) osoby prawne, których urzędującego członka organu zarząd</w:t>
      </w:r>
      <w:r w:rsidR="00060C80">
        <w:rPr>
          <w:rFonts w:asciiTheme="majorHAnsi" w:hAnsiTheme="majorHAnsi"/>
          <w:i/>
          <w:sz w:val="20"/>
          <w:szCs w:val="20"/>
        </w:rPr>
        <w:t>zającego prawomocnie skazano za </w:t>
      </w:r>
      <w:r w:rsidRPr="00813C6B">
        <w:rPr>
          <w:rFonts w:asciiTheme="majorHAnsi" w:hAnsiTheme="majorHAnsi"/>
          <w:i/>
          <w:sz w:val="20"/>
          <w:szCs w:val="20"/>
        </w:rPr>
        <w:t xml:space="preserve">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813C6B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813C6B">
        <w:rPr>
          <w:rFonts w:asciiTheme="majorHAnsi" w:hAnsiTheme="majorHAnsi"/>
          <w:i/>
          <w:sz w:val="20"/>
          <w:szCs w:val="20"/>
        </w:rPr>
        <w:t>a przestępstwo, o którym mowa w </w:t>
      </w:r>
      <w:r w:rsidRPr="00813C6B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813C6B">
        <w:rPr>
          <w:rFonts w:asciiTheme="majorHAnsi" w:hAnsiTheme="majorHAnsi"/>
          <w:i/>
          <w:sz w:val="20"/>
          <w:szCs w:val="20"/>
        </w:rPr>
        <w:t>a ust. 1, lub posługiwali się w </w:t>
      </w:r>
      <w:r w:rsidRPr="00813C6B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i konsumentów (Dz. U. Nr 50, poz. 331, z późn. zm.5)), złożyli odrębne oferty lub wnioski </w:t>
      </w:r>
      <w:r w:rsidR="00A83F5F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o dopuszczenie do udziału w tym samym postępowaniu, chyba że wykażą, że istniejące między </w:t>
      </w:r>
      <w:r w:rsidR="00E24F98" w:rsidRPr="00813C6B">
        <w:rPr>
          <w:rFonts w:asciiTheme="majorHAnsi" w:hAnsiTheme="majorHAnsi"/>
          <w:i/>
          <w:sz w:val="20"/>
          <w:szCs w:val="20"/>
        </w:rPr>
        <w:t>nimi powiązania nie prowadzą do </w:t>
      </w:r>
      <w:r w:rsidRPr="00813C6B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</w:t>
      </w:r>
      <w:r w:rsidR="00A83F5F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o udzielenie zamówienia. 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813C6B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813C6B">
        <w:rPr>
          <w:rFonts w:asciiTheme="majorHAnsi" w:hAnsiTheme="majorHAnsi"/>
          <w:i/>
          <w:sz w:val="20"/>
          <w:szCs w:val="20"/>
        </w:rPr>
        <w:t>y nie wyklucza z postępowania o </w:t>
      </w:r>
      <w:r w:rsidRPr="00813C6B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813C6B">
        <w:rPr>
          <w:rFonts w:asciiTheme="majorHAnsi" w:hAnsiTheme="majorHAnsi"/>
          <w:i/>
          <w:sz w:val="20"/>
          <w:szCs w:val="20"/>
        </w:rPr>
        <w:t>dki techniczne, organizacyjne i </w:t>
      </w:r>
      <w:r w:rsidRPr="00813C6B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2B1" w:rsidRDefault="000772B1">
      <w:r>
        <w:separator/>
      </w:r>
    </w:p>
  </w:endnote>
  <w:endnote w:type="continuationSeparator" w:id="0">
    <w:p w:rsidR="000772B1" w:rsidRDefault="0007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2B1" w:rsidRDefault="000772B1">
      <w:r>
        <w:separator/>
      </w:r>
    </w:p>
  </w:footnote>
  <w:footnote w:type="continuationSeparator" w:id="0">
    <w:p w:rsidR="000772B1" w:rsidRDefault="0007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6553C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B49016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EA34-AE93-48BB-B50A-17DAA88A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63</TotalTime>
  <Pages>2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35</cp:revision>
  <cp:lastPrinted>2018-06-18T08:14:00Z</cp:lastPrinted>
  <dcterms:created xsi:type="dcterms:W3CDTF">2018-05-29T09:58:00Z</dcterms:created>
  <dcterms:modified xsi:type="dcterms:W3CDTF">2018-09-19T12:58:00Z</dcterms:modified>
</cp:coreProperties>
</file>