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9F" w:rsidRDefault="0013599F" w:rsidP="0013599F">
      <w:pPr>
        <w:keepNext/>
        <w:spacing w:after="0" w:line="240" w:lineRule="auto"/>
        <w:jc w:val="center"/>
        <w:outlineLvl w:val="1"/>
        <w:rPr>
          <w:rFonts w:ascii="Garamond" w:eastAsia="Times New Roman" w:hAnsi="Garamond" w:cs="Times New Roman"/>
          <w:b/>
          <w:bCs/>
          <w:iCs/>
          <w:spacing w:val="40"/>
          <w:sz w:val="26"/>
          <w:szCs w:val="26"/>
          <w:lang w:eastAsia="pl-PL"/>
        </w:rPr>
      </w:pPr>
      <w:r>
        <w:rPr>
          <w:rFonts w:ascii="Garamond" w:eastAsia="Times New Roman" w:hAnsi="Garamond" w:cs="Times New Roman"/>
          <w:b/>
          <w:bCs/>
          <w:iCs/>
          <w:spacing w:val="40"/>
          <w:sz w:val="26"/>
          <w:szCs w:val="26"/>
          <w:lang w:eastAsia="pl-PL"/>
        </w:rPr>
        <w:t>Zarz</w:t>
      </w:r>
      <w:r>
        <w:rPr>
          <w:rFonts w:ascii="Times New Roman" w:eastAsia="Times New Roman" w:hAnsi="Times New Roman" w:cs="Times New Roman"/>
          <w:b/>
          <w:bCs/>
          <w:iCs/>
          <w:spacing w:val="40"/>
          <w:sz w:val="26"/>
          <w:szCs w:val="26"/>
          <w:lang w:eastAsia="pl-PL"/>
        </w:rPr>
        <w:t>ą</w:t>
      </w:r>
      <w:r>
        <w:rPr>
          <w:rFonts w:ascii="Garamond" w:eastAsia="Times New Roman" w:hAnsi="Garamond" w:cs="Times New Roman"/>
          <w:b/>
          <w:bCs/>
          <w:iCs/>
          <w:spacing w:val="40"/>
          <w:sz w:val="26"/>
          <w:szCs w:val="26"/>
          <w:lang w:eastAsia="pl-PL"/>
        </w:rPr>
        <w:t>d Powiatu L</w:t>
      </w:r>
      <w:r>
        <w:rPr>
          <w:rFonts w:ascii="Times New Roman" w:eastAsia="Times New Roman" w:hAnsi="Times New Roman" w:cs="Times New Roman"/>
          <w:b/>
          <w:bCs/>
          <w:iCs/>
          <w:spacing w:val="40"/>
          <w:sz w:val="26"/>
          <w:szCs w:val="26"/>
          <w:lang w:eastAsia="pl-PL"/>
        </w:rPr>
        <w:t>ę</w:t>
      </w:r>
      <w:r>
        <w:rPr>
          <w:rFonts w:ascii="Garamond" w:eastAsia="Times New Roman" w:hAnsi="Garamond" w:cs="Times New Roman"/>
          <w:b/>
          <w:bCs/>
          <w:iCs/>
          <w:spacing w:val="40"/>
          <w:sz w:val="26"/>
          <w:szCs w:val="26"/>
          <w:lang w:eastAsia="pl-PL"/>
        </w:rPr>
        <w:t>borskiego</w:t>
      </w:r>
    </w:p>
    <w:p w:rsidR="0013599F" w:rsidRDefault="0013599F" w:rsidP="0013599F">
      <w:pPr>
        <w:spacing w:after="0" w:line="240" w:lineRule="auto"/>
        <w:jc w:val="center"/>
        <w:rPr>
          <w:rFonts w:ascii="Garamond" w:eastAsia="Times New Roman" w:hAnsi="Garamond" w:cs="Times New Roman"/>
          <w:b/>
          <w:bCs/>
          <w:iCs/>
          <w:spacing w:val="40"/>
          <w:lang w:eastAsia="pl-PL"/>
        </w:rPr>
      </w:pPr>
      <w:r>
        <w:rPr>
          <w:rFonts w:ascii="Garamond" w:eastAsia="Times New Roman" w:hAnsi="Garamond" w:cs="Times New Roman"/>
          <w:b/>
          <w:bCs/>
          <w:iCs/>
          <w:spacing w:val="40"/>
          <w:lang w:eastAsia="pl-PL"/>
        </w:rPr>
        <w:t>84-300 L</w:t>
      </w:r>
      <w:r>
        <w:rPr>
          <w:rFonts w:ascii="Times New Roman" w:eastAsia="Times New Roman" w:hAnsi="Times New Roman" w:cs="Times New Roman"/>
          <w:b/>
          <w:bCs/>
          <w:iCs/>
          <w:spacing w:val="40"/>
          <w:lang w:eastAsia="pl-PL"/>
        </w:rPr>
        <w:t>ę</w:t>
      </w:r>
      <w:r>
        <w:rPr>
          <w:rFonts w:ascii="Garamond" w:eastAsia="Times New Roman" w:hAnsi="Garamond" w:cs="Times New Roman"/>
          <w:b/>
          <w:bCs/>
          <w:iCs/>
          <w:spacing w:val="40"/>
          <w:lang w:eastAsia="pl-PL"/>
        </w:rPr>
        <w:t>bork, ul. Czo</w:t>
      </w:r>
      <w:r>
        <w:rPr>
          <w:rFonts w:ascii="Times New Roman" w:eastAsia="Times New Roman" w:hAnsi="Times New Roman" w:cs="Times New Roman"/>
          <w:b/>
          <w:bCs/>
          <w:iCs/>
          <w:spacing w:val="40"/>
          <w:lang w:eastAsia="pl-PL"/>
        </w:rPr>
        <w:t>ł</w:t>
      </w:r>
      <w:r>
        <w:rPr>
          <w:rFonts w:ascii="Garamond" w:eastAsia="Times New Roman" w:hAnsi="Garamond" w:cs="Times New Roman"/>
          <w:b/>
          <w:bCs/>
          <w:iCs/>
          <w:spacing w:val="40"/>
          <w:lang w:eastAsia="pl-PL"/>
        </w:rPr>
        <w:t>gist</w:t>
      </w:r>
      <w:r>
        <w:rPr>
          <w:rFonts w:ascii="Garamond" w:eastAsia="Times New Roman" w:hAnsi="Garamond" w:cs="Garamond"/>
          <w:b/>
          <w:bCs/>
          <w:iCs/>
          <w:spacing w:val="40"/>
          <w:lang w:eastAsia="pl-PL"/>
        </w:rPr>
        <w:t>ó</w:t>
      </w:r>
      <w:r>
        <w:rPr>
          <w:rFonts w:ascii="Garamond" w:eastAsia="Times New Roman" w:hAnsi="Garamond" w:cs="Times New Roman"/>
          <w:b/>
          <w:bCs/>
          <w:iCs/>
          <w:spacing w:val="40"/>
          <w:lang w:eastAsia="pl-PL"/>
        </w:rPr>
        <w:t>w 5</w:t>
      </w:r>
    </w:p>
    <w:p w:rsidR="0013599F" w:rsidRDefault="0013599F" w:rsidP="0013599F">
      <w:pPr>
        <w:spacing w:after="0" w:line="240" w:lineRule="auto"/>
        <w:jc w:val="center"/>
        <w:rPr>
          <w:rFonts w:ascii="Garamond" w:eastAsia="Times New Roman" w:hAnsi="Garamond" w:cs="Times New Roman"/>
          <w:i/>
          <w:iCs/>
          <w:sz w:val="20"/>
          <w:szCs w:val="20"/>
          <w:u w:val="single"/>
          <w:lang w:eastAsia="pl-PL"/>
        </w:rPr>
      </w:pPr>
    </w:p>
    <w:p w:rsidR="0013599F" w:rsidRDefault="0013599F" w:rsidP="0013599F">
      <w:pPr>
        <w:spacing w:after="0" w:line="240" w:lineRule="auto"/>
        <w:jc w:val="center"/>
        <w:rPr>
          <w:rFonts w:ascii="Garamond" w:eastAsia="Times New Roman" w:hAnsi="Garamond" w:cs="Times New Roman"/>
          <w:iCs/>
          <w:sz w:val="26"/>
          <w:szCs w:val="26"/>
          <w:u w:val="single"/>
          <w:lang w:eastAsia="pl-PL"/>
        </w:rPr>
      </w:pPr>
      <w:r>
        <w:rPr>
          <w:rFonts w:ascii="Garamond" w:eastAsia="Times New Roman" w:hAnsi="Garamond" w:cs="Times New Roman"/>
          <w:iCs/>
          <w:sz w:val="26"/>
          <w:szCs w:val="26"/>
          <w:u w:val="single"/>
          <w:lang w:eastAsia="pl-PL"/>
        </w:rPr>
        <w:t>og</w:t>
      </w:r>
      <w:r>
        <w:rPr>
          <w:rFonts w:ascii="Times New Roman" w:eastAsia="Times New Roman" w:hAnsi="Times New Roman" w:cs="Times New Roman"/>
          <w:iCs/>
          <w:sz w:val="26"/>
          <w:szCs w:val="26"/>
          <w:u w:val="single"/>
          <w:lang w:eastAsia="pl-PL"/>
        </w:rPr>
        <w:t>ł</w:t>
      </w:r>
      <w:r>
        <w:rPr>
          <w:rFonts w:ascii="Garamond" w:eastAsia="Times New Roman" w:hAnsi="Garamond" w:cs="Times New Roman"/>
          <w:iCs/>
          <w:sz w:val="26"/>
          <w:szCs w:val="26"/>
          <w:u w:val="single"/>
          <w:lang w:eastAsia="pl-PL"/>
        </w:rPr>
        <w:t>asza II przetarg ustny nieograniczony na sprzeda</w:t>
      </w:r>
      <w:r>
        <w:rPr>
          <w:rFonts w:ascii="Times New Roman" w:eastAsia="Times New Roman" w:hAnsi="Times New Roman" w:cs="Times New Roman"/>
          <w:iCs/>
          <w:sz w:val="26"/>
          <w:szCs w:val="26"/>
          <w:u w:val="single"/>
          <w:lang w:eastAsia="pl-PL"/>
        </w:rPr>
        <w:t>ż</w:t>
      </w:r>
      <w:r>
        <w:rPr>
          <w:rFonts w:ascii="Garamond" w:eastAsia="Times New Roman" w:hAnsi="Garamond" w:cs="Times New Roman"/>
          <w:iCs/>
          <w:sz w:val="26"/>
          <w:szCs w:val="26"/>
          <w:u w:val="single"/>
          <w:lang w:eastAsia="pl-PL"/>
        </w:rPr>
        <w:t xml:space="preserve"> nieruchomo</w:t>
      </w:r>
      <w:r>
        <w:rPr>
          <w:rFonts w:ascii="Times New Roman" w:eastAsia="Times New Roman" w:hAnsi="Times New Roman" w:cs="Times New Roman"/>
          <w:iCs/>
          <w:sz w:val="26"/>
          <w:szCs w:val="26"/>
          <w:u w:val="single"/>
          <w:lang w:eastAsia="pl-PL"/>
        </w:rPr>
        <w:t>ś</w:t>
      </w:r>
      <w:r>
        <w:rPr>
          <w:rFonts w:ascii="Garamond" w:eastAsia="Times New Roman" w:hAnsi="Garamond" w:cs="Times New Roman"/>
          <w:iCs/>
          <w:sz w:val="26"/>
          <w:szCs w:val="26"/>
          <w:u w:val="single"/>
          <w:lang w:eastAsia="pl-PL"/>
        </w:rPr>
        <w:t>ci zabudowanej</w:t>
      </w:r>
    </w:p>
    <w:p w:rsidR="0013599F" w:rsidRDefault="0013599F" w:rsidP="0013599F">
      <w:pPr>
        <w:spacing w:after="0" w:line="240" w:lineRule="auto"/>
        <w:jc w:val="center"/>
        <w:rPr>
          <w:rFonts w:ascii="Garamond" w:eastAsia="Times New Roman" w:hAnsi="Garamond" w:cs="Times New Roman"/>
          <w:iCs/>
          <w:sz w:val="26"/>
          <w:szCs w:val="26"/>
          <w:u w:val="single"/>
          <w:lang w:eastAsia="pl-PL"/>
        </w:rPr>
      </w:pPr>
      <w:r>
        <w:rPr>
          <w:rFonts w:ascii="Garamond" w:eastAsia="Times New Roman" w:hAnsi="Garamond" w:cs="Times New Roman"/>
          <w:iCs/>
          <w:sz w:val="26"/>
          <w:szCs w:val="26"/>
          <w:u w:val="single"/>
          <w:lang w:eastAsia="pl-PL"/>
        </w:rPr>
        <w:t>stanowi</w:t>
      </w:r>
      <w:r>
        <w:rPr>
          <w:rFonts w:ascii="Times New Roman" w:eastAsia="Times New Roman" w:hAnsi="Times New Roman" w:cs="Times New Roman"/>
          <w:iCs/>
          <w:sz w:val="26"/>
          <w:szCs w:val="26"/>
          <w:u w:val="single"/>
          <w:lang w:eastAsia="pl-PL"/>
        </w:rPr>
        <w:t>ą</w:t>
      </w:r>
      <w:r>
        <w:rPr>
          <w:rFonts w:ascii="Garamond" w:eastAsia="Times New Roman" w:hAnsi="Garamond" w:cs="Times New Roman"/>
          <w:iCs/>
          <w:sz w:val="26"/>
          <w:szCs w:val="26"/>
          <w:u w:val="single"/>
          <w:lang w:eastAsia="pl-PL"/>
        </w:rPr>
        <w:t>cej mienie Powiatu L</w:t>
      </w:r>
      <w:r>
        <w:rPr>
          <w:rFonts w:ascii="Times New Roman" w:eastAsia="Times New Roman" w:hAnsi="Times New Roman" w:cs="Times New Roman"/>
          <w:iCs/>
          <w:sz w:val="26"/>
          <w:szCs w:val="26"/>
          <w:u w:val="single"/>
          <w:lang w:eastAsia="pl-PL"/>
        </w:rPr>
        <w:t>ę</w:t>
      </w:r>
      <w:r>
        <w:rPr>
          <w:rFonts w:ascii="Garamond" w:eastAsia="Times New Roman" w:hAnsi="Garamond" w:cs="Times New Roman"/>
          <w:iCs/>
          <w:sz w:val="26"/>
          <w:szCs w:val="26"/>
          <w:u w:val="single"/>
          <w:lang w:eastAsia="pl-PL"/>
        </w:rPr>
        <w:t>borskiego</w:t>
      </w:r>
    </w:p>
    <w:p w:rsidR="0013599F" w:rsidRDefault="0013599F" w:rsidP="0013599F">
      <w:pPr>
        <w:spacing w:after="0" w:line="240" w:lineRule="auto"/>
        <w:rPr>
          <w:rFonts w:ascii="Garamond" w:eastAsia="Times New Roman" w:hAnsi="Garamond" w:cs="Times New Roman"/>
          <w:b/>
          <w:bCs/>
          <w:i/>
          <w:iCs/>
          <w:spacing w:val="40"/>
          <w:sz w:val="10"/>
          <w:szCs w:val="10"/>
          <w:lang w:eastAsia="pl-PL"/>
        </w:rPr>
      </w:pPr>
    </w:p>
    <w:p w:rsidR="0013599F" w:rsidRDefault="0013599F" w:rsidP="0013599F">
      <w:pPr>
        <w:spacing w:after="0" w:line="240" w:lineRule="auto"/>
        <w:jc w:val="center"/>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og</w:t>
      </w:r>
      <w:r>
        <w:rPr>
          <w:rFonts w:ascii="Times New Roman" w:eastAsia="Times New Roman" w:hAnsi="Times New Roman" w:cs="Times New Roman"/>
          <w:b/>
          <w:bCs/>
          <w:iCs/>
          <w:spacing w:val="40"/>
          <w:sz w:val="24"/>
          <w:szCs w:val="24"/>
          <w:lang w:eastAsia="pl-PL"/>
        </w:rPr>
        <w:t>ł</w:t>
      </w:r>
      <w:r>
        <w:rPr>
          <w:rFonts w:ascii="Garamond" w:eastAsia="Times New Roman" w:hAnsi="Garamond" w:cs="Times New Roman"/>
          <w:b/>
          <w:bCs/>
          <w:iCs/>
          <w:spacing w:val="40"/>
          <w:sz w:val="24"/>
          <w:szCs w:val="24"/>
          <w:lang w:eastAsia="pl-PL"/>
        </w:rPr>
        <w:t>asza si</w:t>
      </w:r>
      <w:r>
        <w:rPr>
          <w:rFonts w:ascii="Times New Roman" w:eastAsia="Times New Roman" w:hAnsi="Times New Roman" w:cs="Times New Roman"/>
          <w:b/>
          <w:bCs/>
          <w:iCs/>
          <w:spacing w:val="40"/>
          <w:sz w:val="24"/>
          <w:szCs w:val="24"/>
          <w:lang w:eastAsia="pl-PL"/>
        </w:rPr>
        <w:t>ę</w:t>
      </w:r>
      <w:r>
        <w:rPr>
          <w:rFonts w:ascii="Garamond" w:eastAsia="Times New Roman" w:hAnsi="Garamond" w:cs="Times New Roman"/>
          <w:b/>
          <w:bCs/>
          <w:iCs/>
          <w:spacing w:val="40"/>
          <w:sz w:val="24"/>
          <w:szCs w:val="24"/>
          <w:lang w:eastAsia="pl-PL"/>
        </w:rPr>
        <w:t>, co nast</w:t>
      </w:r>
      <w:r>
        <w:rPr>
          <w:rFonts w:ascii="Times New Roman" w:eastAsia="Times New Roman" w:hAnsi="Times New Roman" w:cs="Times New Roman"/>
          <w:b/>
          <w:bCs/>
          <w:iCs/>
          <w:spacing w:val="40"/>
          <w:sz w:val="24"/>
          <w:szCs w:val="24"/>
          <w:lang w:eastAsia="pl-PL"/>
        </w:rPr>
        <w:t>ę</w:t>
      </w:r>
      <w:r>
        <w:rPr>
          <w:rFonts w:ascii="Garamond" w:eastAsia="Times New Roman" w:hAnsi="Garamond" w:cs="Times New Roman"/>
          <w:b/>
          <w:bCs/>
          <w:iCs/>
          <w:spacing w:val="40"/>
          <w:sz w:val="24"/>
          <w:szCs w:val="24"/>
          <w:lang w:eastAsia="pl-PL"/>
        </w:rPr>
        <w:t>puje:</w:t>
      </w:r>
    </w:p>
    <w:p w:rsidR="0013599F" w:rsidRDefault="0013599F" w:rsidP="0013599F">
      <w:pPr>
        <w:tabs>
          <w:tab w:val="left" w:pos="14760"/>
        </w:tabs>
        <w:spacing w:after="0" w:line="240" w:lineRule="auto"/>
        <w:ind w:right="870"/>
        <w:jc w:val="center"/>
        <w:rPr>
          <w:rFonts w:ascii="Garamond" w:eastAsia="Times New Roman" w:hAnsi="Garamond" w:cs="Times New Roman"/>
          <w:b/>
          <w:bCs/>
          <w:i/>
          <w:iCs/>
          <w:spacing w:val="40"/>
          <w:sz w:val="10"/>
          <w:szCs w:val="10"/>
          <w:lang w:eastAsia="pl-PL"/>
        </w:rPr>
      </w:pPr>
    </w:p>
    <w:p w:rsidR="0013599F" w:rsidRDefault="0013599F" w:rsidP="0013599F">
      <w:pPr>
        <w:spacing w:after="0" w:line="240" w:lineRule="auto"/>
        <w:jc w:val="both"/>
        <w:rPr>
          <w:rFonts w:ascii="Garamond" w:eastAsia="Times New Roman" w:hAnsi="Garamond" w:cs="Times New Roman"/>
          <w:spacing w:val="40"/>
          <w:sz w:val="12"/>
          <w:szCs w:val="24"/>
          <w:lang w:eastAsia="pl-PL"/>
        </w:rPr>
      </w:pPr>
    </w:p>
    <w:p w:rsidR="0013599F" w:rsidRDefault="0013599F" w:rsidP="0013599F">
      <w:pPr>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lang w:eastAsia="pl-PL"/>
        </w:rPr>
        <w:t>Przeznacza si</w:t>
      </w:r>
      <w:r>
        <w:rPr>
          <w:rFonts w:ascii="Times New Roman" w:eastAsia="Times New Roman" w:hAnsi="Times New Roman" w:cs="Times New Roman"/>
          <w:lang w:eastAsia="pl-PL"/>
        </w:rPr>
        <w:t>ę</w:t>
      </w:r>
      <w:r>
        <w:rPr>
          <w:rFonts w:ascii="Garamond" w:eastAsia="Times New Roman" w:hAnsi="Garamond" w:cs="Times New Roman"/>
          <w:lang w:eastAsia="pl-PL"/>
        </w:rPr>
        <w:t xml:space="preserve"> do sprzeda</w:t>
      </w:r>
      <w:r>
        <w:rPr>
          <w:rFonts w:ascii="Times New Roman" w:eastAsia="Times New Roman" w:hAnsi="Times New Roman" w:cs="Times New Roman"/>
          <w:lang w:eastAsia="pl-PL"/>
        </w:rPr>
        <w:t>ż</w:t>
      </w:r>
      <w:r>
        <w:rPr>
          <w:rFonts w:ascii="Garamond" w:eastAsia="Times New Roman" w:hAnsi="Garamond" w:cs="Times New Roman"/>
          <w:lang w:eastAsia="pl-PL"/>
        </w:rPr>
        <w:t>y w drodze ustnego przetargu nieograniczonego opisaną ni</w:t>
      </w:r>
      <w:r>
        <w:rPr>
          <w:rFonts w:ascii="Times New Roman" w:eastAsia="Times New Roman" w:hAnsi="Times New Roman" w:cs="Times New Roman"/>
          <w:lang w:eastAsia="pl-PL"/>
        </w:rPr>
        <w:t>ż</w:t>
      </w:r>
      <w:r>
        <w:rPr>
          <w:rFonts w:ascii="Garamond" w:eastAsia="Times New Roman" w:hAnsi="Garamond" w:cs="Times New Roman"/>
          <w:lang w:eastAsia="pl-PL"/>
        </w:rPr>
        <w:t>ej nieruchomo</w:t>
      </w:r>
      <w:r>
        <w:rPr>
          <w:rFonts w:ascii="Times New Roman" w:eastAsia="Times New Roman" w:hAnsi="Times New Roman" w:cs="Times New Roman"/>
          <w:lang w:eastAsia="pl-PL"/>
        </w:rPr>
        <w:t>ś</w:t>
      </w:r>
      <w:r>
        <w:rPr>
          <w:rFonts w:ascii="Garamond" w:eastAsia="Times New Roman" w:hAnsi="Garamond" w:cs="Times New Roman"/>
          <w:lang w:eastAsia="pl-PL"/>
        </w:rPr>
        <w:t>ć położoną w obrębie 13 miasta Lęborka przy ulicy Pionierów 10</w:t>
      </w:r>
    </w:p>
    <w:p w:rsidR="0013599F" w:rsidRDefault="0013599F" w:rsidP="0013599F">
      <w:pPr>
        <w:spacing w:after="0" w:line="360" w:lineRule="auto"/>
        <w:ind w:left="720"/>
        <w:jc w:val="both"/>
        <w:rPr>
          <w:rFonts w:ascii="Garamond" w:eastAsia="Times New Roman" w:hAnsi="Garamond" w:cs="Times New Roman"/>
          <w:lang w:eastAsia="pl-PL"/>
        </w:rPr>
      </w:pPr>
    </w:p>
    <w:tbl>
      <w:tblPr>
        <w:tblW w:w="14370"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1"/>
        <w:gridCol w:w="1482"/>
        <w:gridCol w:w="1980"/>
        <w:gridCol w:w="1701"/>
        <w:gridCol w:w="1473"/>
        <w:gridCol w:w="6663"/>
      </w:tblGrid>
      <w:tr w:rsidR="0013599F" w:rsidTr="0013599F">
        <w:tc>
          <w:tcPr>
            <w:tcW w:w="10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599F" w:rsidRDefault="0013599F">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Nr działki</w:t>
            </w:r>
          </w:p>
        </w:tc>
        <w:tc>
          <w:tcPr>
            <w:tcW w:w="148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599F" w:rsidRDefault="0013599F">
            <w:pPr>
              <w:spacing w:after="0" w:line="240" w:lineRule="auto"/>
              <w:jc w:val="center"/>
              <w:rPr>
                <w:rFonts w:ascii="Garamond" w:eastAsia="Times New Roman" w:hAnsi="Garamond" w:cs="Times New Roman"/>
                <w:b/>
                <w:bCs/>
                <w:szCs w:val="24"/>
                <w:vertAlign w:val="superscript"/>
                <w:lang w:eastAsia="pl-PL"/>
              </w:rPr>
            </w:pPr>
            <w:r>
              <w:rPr>
                <w:rFonts w:ascii="Garamond" w:eastAsia="Times New Roman" w:hAnsi="Garamond" w:cs="Times New Roman"/>
                <w:b/>
                <w:bCs/>
                <w:szCs w:val="24"/>
                <w:lang w:eastAsia="pl-PL"/>
              </w:rPr>
              <w:t>Powierzchnia w m</w:t>
            </w:r>
            <w:r>
              <w:rPr>
                <w:rFonts w:ascii="Garamond" w:eastAsia="Times New Roman" w:hAnsi="Garamond" w:cs="Times New Roman"/>
                <w:b/>
                <w:bCs/>
                <w:szCs w:val="24"/>
                <w:vertAlign w:val="superscript"/>
                <w:lang w:eastAsia="pl-PL"/>
              </w:rPr>
              <w:t>2</w:t>
            </w:r>
          </w:p>
        </w:tc>
        <w:tc>
          <w:tcPr>
            <w:tcW w:w="198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599F" w:rsidRDefault="0013599F">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Nr KW</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599F" w:rsidRDefault="0013599F">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Cena nieruchomości</w:t>
            </w:r>
          </w:p>
        </w:tc>
        <w:tc>
          <w:tcPr>
            <w:tcW w:w="1473"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599F" w:rsidRDefault="0013599F">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Wadium</w:t>
            </w:r>
          </w:p>
        </w:tc>
        <w:tc>
          <w:tcPr>
            <w:tcW w:w="66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599F" w:rsidRDefault="0013599F">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Opis i przeznaczenie nieruchomości</w:t>
            </w:r>
          </w:p>
        </w:tc>
      </w:tr>
      <w:tr w:rsidR="0013599F" w:rsidTr="0013599F">
        <w:tc>
          <w:tcPr>
            <w:tcW w:w="1070" w:type="dxa"/>
            <w:tcBorders>
              <w:top w:val="single" w:sz="4" w:space="0" w:color="auto"/>
              <w:left w:val="single" w:sz="4" w:space="0" w:color="auto"/>
              <w:bottom w:val="single" w:sz="4" w:space="0" w:color="auto"/>
              <w:right w:val="single" w:sz="4" w:space="0" w:color="auto"/>
            </w:tcBorders>
            <w:hideMark/>
          </w:tcPr>
          <w:p w:rsidR="0013599F" w:rsidRDefault="0013599F">
            <w:pPr>
              <w:spacing w:after="0" w:line="240" w:lineRule="auto"/>
              <w:jc w:val="center"/>
              <w:rPr>
                <w:rFonts w:ascii="Garamond" w:eastAsia="Times New Roman" w:hAnsi="Garamond" w:cs="Times New Roman"/>
                <w:szCs w:val="24"/>
                <w:lang w:eastAsia="pl-PL"/>
              </w:rPr>
            </w:pPr>
            <w:r>
              <w:rPr>
                <w:rFonts w:ascii="Garamond" w:eastAsia="Times New Roman" w:hAnsi="Garamond" w:cs="Times New Roman"/>
                <w:szCs w:val="24"/>
                <w:lang w:eastAsia="pl-PL"/>
              </w:rPr>
              <w:t xml:space="preserve">działka </w:t>
            </w:r>
            <w:r>
              <w:rPr>
                <w:rFonts w:ascii="Garamond" w:eastAsia="Times New Roman" w:hAnsi="Garamond" w:cs="Times New Roman"/>
                <w:szCs w:val="24"/>
                <w:lang w:eastAsia="pl-PL"/>
              </w:rPr>
              <w:br/>
            </w:r>
            <w:r>
              <w:rPr>
                <w:rFonts w:ascii="Garamond" w:eastAsia="Times New Roman" w:hAnsi="Garamond" w:cs="Times New Roman"/>
                <w:b/>
                <w:bCs/>
                <w:szCs w:val="24"/>
                <w:lang w:eastAsia="pl-PL"/>
              </w:rPr>
              <w:t>nr 36/2</w:t>
            </w:r>
          </w:p>
        </w:tc>
        <w:tc>
          <w:tcPr>
            <w:tcW w:w="1481" w:type="dxa"/>
            <w:tcBorders>
              <w:top w:val="single" w:sz="4" w:space="0" w:color="auto"/>
              <w:left w:val="single" w:sz="4" w:space="0" w:color="auto"/>
              <w:bottom w:val="single" w:sz="4" w:space="0" w:color="auto"/>
              <w:right w:val="single" w:sz="4" w:space="0" w:color="auto"/>
            </w:tcBorders>
            <w:hideMark/>
          </w:tcPr>
          <w:p w:rsidR="0013599F" w:rsidRDefault="0013599F">
            <w:pPr>
              <w:spacing w:after="0" w:line="240" w:lineRule="auto"/>
              <w:jc w:val="center"/>
              <w:rPr>
                <w:rFonts w:ascii="Garamond" w:eastAsia="Times New Roman" w:hAnsi="Garamond" w:cs="Times New Roman"/>
                <w:szCs w:val="24"/>
                <w:lang w:eastAsia="pl-PL"/>
              </w:rPr>
            </w:pPr>
            <w:r>
              <w:rPr>
                <w:rFonts w:ascii="Garamond" w:eastAsia="Times New Roman" w:hAnsi="Garamond" w:cs="Times New Roman"/>
                <w:szCs w:val="24"/>
                <w:lang w:eastAsia="pl-PL"/>
              </w:rPr>
              <w:t>766</w:t>
            </w:r>
          </w:p>
        </w:tc>
        <w:tc>
          <w:tcPr>
            <w:tcW w:w="1980" w:type="dxa"/>
            <w:tcBorders>
              <w:top w:val="single" w:sz="4" w:space="0" w:color="auto"/>
              <w:left w:val="single" w:sz="4" w:space="0" w:color="auto"/>
              <w:bottom w:val="single" w:sz="4" w:space="0" w:color="auto"/>
              <w:right w:val="single" w:sz="4" w:space="0" w:color="auto"/>
            </w:tcBorders>
            <w:hideMark/>
          </w:tcPr>
          <w:p w:rsidR="0013599F" w:rsidRDefault="0013599F">
            <w:pPr>
              <w:spacing w:after="0" w:line="240" w:lineRule="auto"/>
              <w:jc w:val="center"/>
              <w:rPr>
                <w:rFonts w:ascii="Garamond" w:eastAsia="Times New Roman" w:hAnsi="Garamond" w:cs="Times New Roman"/>
                <w:szCs w:val="24"/>
                <w:lang w:eastAsia="pl-PL"/>
              </w:rPr>
            </w:pPr>
            <w:r>
              <w:rPr>
                <w:rFonts w:ascii="Garamond" w:eastAsia="Times New Roman" w:hAnsi="Garamond" w:cs="Times New Roman"/>
                <w:szCs w:val="24"/>
                <w:lang w:eastAsia="pl-PL"/>
              </w:rPr>
              <w:t>SL1L/00031051/1</w:t>
            </w:r>
          </w:p>
        </w:tc>
        <w:tc>
          <w:tcPr>
            <w:tcW w:w="1701" w:type="dxa"/>
            <w:tcBorders>
              <w:top w:val="single" w:sz="4" w:space="0" w:color="auto"/>
              <w:left w:val="single" w:sz="4" w:space="0" w:color="auto"/>
              <w:bottom w:val="single" w:sz="4" w:space="0" w:color="auto"/>
              <w:right w:val="single" w:sz="4" w:space="0" w:color="auto"/>
            </w:tcBorders>
            <w:hideMark/>
          </w:tcPr>
          <w:p w:rsidR="0013599F" w:rsidRDefault="0013599F" w:rsidP="0013599F">
            <w:pPr>
              <w:spacing w:after="0" w:line="240" w:lineRule="auto"/>
              <w:jc w:val="center"/>
              <w:rPr>
                <w:rFonts w:ascii="Garamond" w:eastAsia="Times New Roman" w:hAnsi="Garamond" w:cs="Times New Roman"/>
                <w:b/>
                <w:bCs/>
                <w:szCs w:val="24"/>
                <w:lang w:eastAsia="pl-PL"/>
              </w:rPr>
            </w:pPr>
            <w:r>
              <w:rPr>
                <w:rFonts w:ascii="Garamond" w:eastAsia="Times New Roman" w:hAnsi="Garamond" w:cs="Times New Roman"/>
                <w:b/>
                <w:bCs/>
                <w:szCs w:val="24"/>
                <w:lang w:eastAsia="pl-PL"/>
              </w:rPr>
              <w:t>699.000 zł*</w:t>
            </w:r>
          </w:p>
        </w:tc>
        <w:tc>
          <w:tcPr>
            <w:tcW w:w="1473" w:type="dxa"/>
            <w:tcBorders>
              <w:top w:val="single" w:sz="4" w:space="0" w:color="auto"/>
              <w:left w:val="single" w:sz="4" w:space="0" w:color="auto"/>
              <w:bottom w:val="single" w:sz="4" w:space="0" w:color="auto"/>
              <w:right w:val="single" w:sz="4" w:space="0" w:color="auto"/>
            </w:tcBorders>
            <w:hideMark/>
          </w:tcPr>
          <w:p w:rsidR="0013599F" w:rsidRDefault="0013599F">
            <w:pPr>
              <w:spacing w:after="0" w:line="240" w:lineRule="auto"/>
              <w:jc w:val="center"/>
              <w:rPr>
                <w:rFonts w:ascii="Garamond" w:eastAsia="Times New Roman" w:hAnsi="Garamond" w:cs="Times New Roman"/>
                <w:b/>
                <w:lang w:eastAsia="pl-PL"/>
              </w:rPr>
            </w:pPr>
            <w:r>
              <w:rPr>
                <w:rFonts w:ascii="Garamond" w:eastAsia="Times New Roman" w:hAnsi="Garamond" w:cs="Times New Roman"/>
                <w:b/>
                <w:lang w:eastAsia="pl-PL"/>
              </w:rPr>
              <w:t>70.000 zł</w:t>
            </w:r>
          </w:p>
        </w:tc>
        <w:tc>
          <w:tcPr>
            <w:tcW w:w="6662" w:type="dxa"/>
            <w:tcBorders>
              <w:top w:val="single" w:sz="4" w:space="0" w:color="auto"/>
              <w:left w:val="single" w:sz="4" w:space="0" w:color="auto"/>
              <w:bottom w:val="single" w:sz="4" w:space="0" w:color="auto"/>
              <w:right w:val="single" w:sz="4" w:space="0" w:color="auto"/>
            </w:tcBorders>
            <w:hideMark/>
          </w:tcPr>
          <w:p w:rsidR="0013599F" w:rsidRDefault="0013599F">
            <w:pPr>
              <w:spacing w:after="0" w:line="240" w:lineRule="auto"/>
              <w:jc w:val="both"/>
              <w:rPr>
                <w:rFonts w:ascii="Garamond" w:eastAsia="Times New Roman" w:hAnsi="Garamond" w:cs="Times New Roman"/>
                <w:sz w:val="20"/>
                <w:szCs w:val="24"/>
                <w:lang w:eastAsia="pl-PL"/>
              </w:rPr>
            </w:pPr>
            <w:r>
              <w:rPr>
                <w:rFonts w:ascii="Garamond" w:eastAsia="Times New Roman" w:hAnsi="Garamond" w:cs="Times New Roman"/>
                <w:sz w:val="20"/>
                <w:szCs w:val="24"/>
                <w:lang w:eastAsia="pl-PL"/>
              </w:rPr>
              <w:t>Działka zabudowana położona przy ulicy Pionierów. Na terenie nieruchomości znajduje się piętrowy budynek administracyjno-biurowy o powierzchni 257,85m</w:t>
            </w:r>
            <w:r>
              <w:rPr>
                <w:rFonts w:ascii="Garamond" w:eastAsia="Times New Roman" w:hAnsi="Garamond" w:cs="Times New Roman"/>
                <w:sz w:val="20"/>
                <w:szCs w:val="24"/>
                <w:vertAlign w:val="superscript"/>
                <w:lang w:eastAsia="pl-PL"/>
              </w:rPr>
              <w:t>2</w:t>
            </w:r>
            <w:r>
              <w:rPr>
                <w:rFonts w:ascii="Garamond" w:eastAsia="Times New Roman" w:hAnsi="Garamond" w:cs="Times New Roman"/>
                <w:sz w:val="20"/>
                <w:szCs w:val="24"/>
                <w:lang w:eastAsia="pl-PL"/>
              </w:rPr>
              <w:t xml:space="preserve">, częściowo podpiwniczony. Na układ funkcjonalny obiektu składają się: </w:t>
            </w:r>
            <w:r>
              <w:rPr>
                <w:rFonts w:ascii="Garamond" w:eastAsia="Times New Roman" w:hAnsi="Garamond" w:cs="Times New Roman"/>
                <w:sz w:val="20"/>
                <w:szCs w:val="24"/>
                <w:lang w:eastAsia="pl-PL"/>
              </w:rPr>
              <w:br/>
              <w:t>12 pomieszczeń biurowych, 2 korytarze, 2 łazienki, 3 pomieszczenia gospodarcze, piwnica i klatka schodowa. Na terenie nieruchomości znajduję się również budynek garażu o powierzchni 26,23m</w:t>
            </w:r>
            <w:r>
              <w:rPr>
                <w:rFonts w:ascii="Garamond" w:eastAsia="Times New Roman" w:hAnsi="Garamond" w:cs="Times New Roman"/>
                <w:sz w:val="20"/>
                <w:szCs w:val="24"/>
                <w:vertAlign w:val="superscript"/>
                <w:lang w:eastAsia="pl-PL"/>
              </w:rPr>
              <w:t>2</w:t>
            </w:r>
            <w:r>
              <w:rPr>
                <w:rFonts w:ascii="Garamond" w:eastAsia="Times New Roman" w:hAnsi="Garamond" w:cs="Times New Roman"/>
                <w:sz w:val="20"/>
                <w:szCs w:val="24"/>
                <w:lang w:eastAsia="pl-PL"/>
              </w:rPr>
              <w:t xml:space="preserve"> i budynek portierni o powierzchni 9,35m</w:t>
            </w:r>
            <w:r>
              <w:rPr>
                <w:rFonts w:ascii="Garamond" w:eastAsia="Times New Roman" w:hAnsi="Garamond" w:cs="Times New Roman"/>
                <w:sz w:val="20"/>
                <w:szCs w:val="24"/>
                <w:vertAlign w:val="superscript"/>
                <w:lang w:eastAsia="pl-PL"/>
              </w:rPr>
              <w:t>2</w:t>
            </w:r>
            <w:r>
              <w:rPr>
                <w:rFonts w:ascii="Garamond" w:eastAsia="Times New Roman" w:hAnsi="Garamond" w:cs="Times New Roman"/>
                <w:sz w:val="20"/>
                <w:szCs w:val="24"/>
                <w:lang w:eastAsia="pl-PL"/>
              </w:rPr>
              <w:t>. Uzbrojenie techniczne – przyłącze do sieci elektroenergetycznej, grzewczej, wodnej i kanalizacyjnej.</w:t>
            </w:r>
          </w:p>
        </w:tc>
      </w:tr>
    </w:tbl>
    <w:p w:rsidR="0013599F" w:rsidRDefault="0013599F" w:rsidP="0013599F">
      <w:pPr>
        <w:spacing w:before="120" w:after="0" w:line="240" w:lineRule="auto"/>
        <w:ind w:left="360"/>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zwolnione z VAT na podstawie art. 43 ust. 1 pkt 10 ustawy o podatku od towarów i usług (</w:t>
      </w:r>
      <w:proofErr w:type="spellStart"/>
      <w:r>
        <w:rPr>
          <w:rFonts w:ascii="Garamond" w:eastAsia="Times New Roman" w:hAnsi="Garamond" w:cs="Times New Roman"/>
          <w:sz w:val="20"/>
          <w:szCs w:val="20"/>
          <w:lang w:eastAsia="pl-PL"/>
        </w:rPr>
        <w:t>t.j</w:t>
      </w:r>
      <w:proofErr w:type="spellEnd"/>
      <w:r>
        <w:rPr>
          <w:rFonts w:ascii="Garamond" w:eastAsia="Times New Roman" w:hAnsi="Garamond" w:cs="Times New Roman"/>
          <w:sz w:val="20"/>
          <w:szCs w:val="20"/>
          <w:lang w:eastAsia="pl-PL"/>
        </w:rPr>
        <w:t>. Dz.U. z 2017 r. poz. 1221 ze zm.)</w:t>
      </w:r>
    </w:p>
    <w:p w:rsidR="0013599F" w:rsidRDefault="0013599F" w:rsidP="0013599F">
      <w:pPr>
        <w:spacing w:after="0" w:line="240" w:lineRule="auto"/>
        <w:rPr>
          <w:rFonts w:ascii="Garamond" w:eastAsia="Times New Roman" w:hAnsi="Garamond" w:cs="Times New Roman"/>
          <w:sz w:val="6"/>
          <w:szCs w:val="6"/>
          <w:lang w:eastAsia="pl-PL"/>
        </w:rPr>
      </w:pPr>
    </w:p>
    <w:p w:rsidR="0013599F" w:rsidRDefault="0013599F" w:rsidP="0013599F">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Nieruchomość wolna jest od obciążeń i nie jest przedmiotem zobowiązań.</w:t>
      </w:r>
    </w:p>
    <w:p w:rsidR="0013599F" w:rsidRPr="0013599F" w:rsidRDefault="0013599F" w:rsidP="0013599F">
      <w:pPr>
        <w:spacing w:before="120" w:after="0" w:line="240" w:lineRule="auto"/>
        <w:ind w:left="360"/>
        <w:jc w:val="both"/>
        <w:rPr>
          <w:rFonts w:ascii="Garamond" w:eastAsia="Times New Roman" w:hAnsi="Garamond" w:cs="Times New Roman"/>
          <w:u w:val="single"/>
          <w:lang w:eastAsia="pl-PL"/>
        </w:rPr>
      </w:pPr>
      <w:r>
        <w:rPr>
          <w:rFonts w:ascii="Garamond" w:eastAsia="Times New Roman" w:hAnsi="Garamond" w:cs="Times New Roman"/>
          <w:lang w:eastAsia="pl-PL"/>
        </w:rPr>
        <w:t xml:space="preserve">Pierwszy przetarg ustny nieograniczony na zbycie nieruchomości odbył się w dniu </w:t>
      </w:r>
      <w:r w:rsidRPr="0013599F">
        <w:rPr>
          <w:rFonts w:ascii="Garamond" w:eastAsia="Times New Roman" w:hAnsi="Garamond" w:cs="Times New Roman"/>
          <w:u w:val="single"/>
          <w:lang w:eastAsia="pl-PL"/>
        </w:rPr>
        <w:t>14 września 2018 roku.</w:t>
      </w:r>
    </w:p>
    <w:p w:rsidR="0013599F" w:rsidRDefault="0013599F" w:rsidP="0013599F">
      <w:pPr>
        <w:spacing w:before="120" w:after="0" w:line="240" w:lineRule="auto"/>
        <w:ind w:left="360"/>
        <w:jc w:val="both"/>
        <w:rPr>
          <w:rFonts w:ascii="Garamond" w:eastAsia="Times New Roman" w:hAnsi="Garamond" w:cs="Times New Roman"/>
          <w:sz w:val="6"/>
          <w:szCs w:val="6"/>
          <w:lang w:eastAsia="pl-PL"/>
        </w:rPr>
      </w:pPr>
    </w:p>
    <w:p w:rsidR="0013599F" w:rsidRDefault="0013599F" w:rsidP="0013599F">
      <w:pPr>
        <w:numPr>
          <w:ilvl w:val="0"/>
          <w:numId w:val="1"/>
        </w:numPr>
        <w:spacing w:before="120" w:after="0" w:line="360" w:lineRule="auto"/>
        <w:jc w:val="both"/>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Przeznaczenie ww. nieruchomości w planie miejscowym: </w:t>
      </w:r>
    </w:p>
    <w:p w:rsidR="0013599F" w:rsidRDefault="0013599F" w:rsidP="0013599F">
      <w:pPr>
        <w:pStyle w:val="Tekstpodstawowy2"/>
        <w:spacing w:line="360" w:lineRule="auto"/>
        <w:ind w:left="708"/>
        <w:rPr>
          <w:rFonts w:ascii="Garamond" w:hAnsi="Garamond"/>
          <w:sz w:val="22"/>
          <w:szCs w:val="22"/>
        </w:rPr>
      </w:pPr>
      <w:r>
        <w:rPr>
          <w:rFonts w:ascii="Garamond" w:hAnsi="Garamond"/>
          <w:sz w:val="22"/>
          <w:szCs w:val="22"/>
        </w:rPr>
        <w:t xml:space="preserve">Zgodnie z obowiązującą zmianą miejscowego planu ogólnego zagospodarowania przestrzennego miasta Lęborka nieruchomość znajduje się na terenie elementarnym „06.01.UG” </w:t>
      </w:r>
      <w:r>
        <w:rPr>
          <w:rFonts w:ascii="Garamond" w:hAnsi="Garamond"/>
          <w:b/>
          <w:sz w:val="22"/>
          <w:szCs w:val="22"/>
        </w:rPr>
        <w:t xml:space="preserve">o dominującej funkcji komercyjnej </w:t>
      </w:r>
      <w:r>
        <w:rPr>
          <w:rFonts w:ascii="Garamond" w:hAnsi="Garamond"/>
          <w:sz w:val="22"/>
          <w:szCs w:val="22"/>
        </w:rPr>
        <w:t>(funkcja komercyjna/ o charakterze</w:t>
      </w:r>
      <w:r>
        <w:rPr>
          <w:rFonts w:ascii="Garamond" w:hAnsi="Garamond"/>
          <w:b/>
          <w:sz w:val="22"/>
          <w:szCs w:val="22"/>
        </w:rPr>
        <w:t xml:space="preserve"> </w:t>
      </w:r>
      <w:r>
        <w:rPr>
          <w:rFonts w:ascii="Garamond" w:hAnsi="Garamond"/>
          <w:sz w:val="22"/>
          <w:szCs w:val="22"/>
        </w:rPr>
        <w:t>komercyjnym/</w:t>
      </w:r>
      <w:r>
        <w:rPr>
          <w:rFonts w:ascii="Garamond" w:hAnsi="Garamond"/>
          <w:b/>
          <w:sz w:val="22"/>
          <w:szCs w:val="22"/>
        </w:rPr>
        <w:t xml:space="preserve"> – </w:t>
      </w:r>
      <w:r>
        <w:rPr>
          <w:rFonts w:ascii="Garamond" w:hAnsi="Garamond"/>
          <w:sz w:val="22"/>
          <w:szCs w:val="22"/>
        </w:rPr>
        <w:t>funkcje terenów, na których prowadzona jest /będzie/ działalność nastawiona na zysk np. produkcyjna, przemysłowa, składowa, usługowa, a także przeznaczona dla urządzeń infrastruktury technicznej). Ze szczegółowych ustaleń zmiany planu dla tego terenu elementarnego wynika zakaz lokalizacji zabudowy mieszkaniowej wielorodzinnej i innych niż wolno stojąca i bliźniacza, form zabudowy jednorodzinnej.</w:t>
      </w:r>
    </w:p>
    <w:p w:rsidR="0013599F" w:rsidRDefault="0013599F" w:rsidP="0013599F">
      <w:pPr>
        <w:pStyle w:val="Tekstpodstawowy2"/>
        <w:ind w:left="708"/>
        <w:rPr>
          <w:rFonts w:ascii="Garamond" w:hAnsi="Garamond"/>
          <w:sz w:val="6"/>
          <w:szCs w:val="6"/>
        </w:rPr>
      </w:pPr>
    </w:p>
    <w:p w:rsidR="0013599F" w:rsidRDefault="0013599F" w:rsidP="0013599F">
      <w:pPr>
        <w:pStyle w:val="Akapitzlist"/>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lang w:eastAsia="pl-PL"/>
        </w:rPr>
        <w:lastRenderedPageBreak/>
        <w:t xml:space="preserve">Zgodnie z zaświadczeniem Burmistrza Miasta Lęborka działka będąca przedmiotem sprzedaży </w:t>
      </w:r>
      <w:r>
        <w:rPr>
          <w:rFonts w:ascii="Garamond" w:eastAsia="Times New Roman" w:hAnsi="Garamond" w:cs="Times New Roman"/>
          <w:u w:val="single"/>
          <w:lang w:eastAsia="pl-PL"/>
        </w:rPr>
        <w:t xml:space="preserve">nie znajduje się </w:t>
      </w:r>
      <w:r>
        <w:rPr>
          <w:rFonts w:ascii="Garamond" w:eastAsia="Times New Roman" w:hAnsi="Garamond" w:cs="Times New Roman"/>
          <w:lang w:eastAsia="pl-PL"/>
        </w:rPr>
        <w:t>w obszarze zdegradowanym i obszarze rewitalizacji, wyznaczonym przez Gminę Miasto Lębork, na podstawie art. 3 ust. 1, art. 8 ust. 1 oraz art. 11 ust. 5 pkt 1 ustawy z dnia 19 października 2015 r. o rewitalizacji /Dz.U. z 2017 r. poz. 1023 ze zm./.</w:t>
      </w:r>
    </w:p>
    <w:p w:rsidR="0013599F" w:rsidRDefault="0013599F" w:rsidP="0013599F">
      <w:pPr>
        <w:pStyle w:val="Akapitzlist"/>
        <w:numPr>
          <w:ilvl w:val="0"/>
          <w:numId w:val="1"/>
        </w:numPr>
        <w:spacing w:after="0" w:line="360" w:lineRule="auto"/>
        <w:jc w:val="both"/>
        <w:rPr>
          <w:rFonts w:ascii="Garamond" w:eastAsia="Times New Roman" w:hAnsi="Garamond" w:cs="Times New Roman"/>
          <w:lang w:eastAsia="pl-PL"/>
        </w:rPr>
      </w:pPr>
      <w:r>
        <w:rPr>
          <w:rFonts w:ascii="Garamond" w:hAnsi="Garamond"/>
        </w:rPr>
        <w:t>Budynki nie posiadają świadectwa charakterystyki energetycznej w myśl ustawy z dnia 29 sierpnia 2014 r</w:t>
      </w:r>
      <w:r>
        <w:rPr>
          <w:rStyle w:val="Uwydatnienie"/>
          <w:rFonts w:ascii="Garamond" w:hAnsi="Garamond"/>
        </w:rPr>
        <w:t xml:space="preserve"> . o charakterystyce energetycznej budynków</w:t>
      </w:r>
      <w:r w:rsidR="004B5928">
        <w:rPr>
          <w:rFonts w:ascii="Garamond" w:hAnsi="Garamond"/>
        </w:rPr>
        <w:t xml:space="preserve"> (Dz. U. z 2017</w:t>
      </w:r>
      <w:bookmarkStart w:id="0" w:name="_GoBack"/>
      <w:bookmarkEnd w:id="0"/>
      <w:r>
        <w:rPr>
          <w:rFonts w:ascii="Garamond" w:hAnsi="Garamond"/>
        </w:rPr>
        <w:t>r., poz. 1498 ze zm.).</w:t>
      </w:r>
    </w:p>
    <w:p w:rsidR="0013599F" w:rsidRDefault="0013599F" w:rsidP="0013599F">
      <w:pPr>
        <w:numPr>
          <w:ilvl w:val="0"/>
          <w:numId w:val="1"/>
        </w:numPr>
        <w:spacing w:after="0" w:line="360" w:lineRule="auto"/>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należy wpłacić w pieniądzu na konto: Starostwo Powiatowe w Lęborku, Bank Sp</w:t>
      </w:r>
      <w:r>
        <w:rPr>
          <w:rFonts w:ascii="Garamond" w:eastAsia="Times New Roman" w:hAnsi="Garamond" w:cs="Garamond"/>
          <w:szCs w:val="24"/>
          <w:lang w:eastAsia="pl-PL"/>
        </w:rPr>
        <w:t>ó</w:t>
      </w:r>
      <w:r>
        <w:rPr>
          <w:rFonts w:ascii="Garamond" w:eastAsia="Times New Roman" w:hAnsi="Garamond" w:cs="Times New Roman"/>
          <w:szCs w:val="24"/>
          <w:lang w:eastAsia="pl-PL"/>
        </w:rPr>
        <w:t>łdzielczy w Łebie, Filia Lębork Nr 07 9324 0008 0002 8701 2000 0380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do dnia </w:t>
      </w:r>
      <w:r>
        <w:rPr>
          <w:rFonts w:ascii="Garamond" w:eastAsia="Times New Roman" w:hAnsi="Garamond" w:cs="Times New Roman"/>
          <w:b/>
          <w:szCs w:val="24"/>
          <w:lang w:eastAsia="pl-PL"/>
        </w:rPr>
        <w:t>03.12.2018 roku.</w:t>
      </w:r>
      <w:r>
        <w:rPr>
          <w:rFonts w:ascii="Garamond" w:eastAsia="Times New Roman" w:hAnsi="Garamond" w:cs="Times New Roman"/>
          <w:color w:val="FF0000"/>
          <w:szCs w:val="24"/>
          <w:lang w:eastAsia="pl-PL"/>
        </w:rPr>
        <w:t xml:space="preserve"> </w:t>
      </w:r>
      <w:r>
        <w:rPr>
          <w:rFonts w:ascii="Garamond" w:eastAsia="Times New Roman" w:hAnsi="Garamond" w:cs="Times New Roman"/>
          <w:szCs w:val="24"/>
          <w:lang w:eastAsia="pl-PL"/>
        </w:rPr>
        <w:t>Środki pieniężne muszą wpłynąć na rachunek bankowy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w dniu </w:t>
      </w:r>
      <w:r>
        <w:rPr>
          <w:rFonts w:ascii="Garamond" w:eastAsia="Times New Roman" w:hAnsi="Garamond" w:cs="Times New Roman"/>
          <w:b/>
          <w:szCs w:val="24"/>
          <w:lang w:eastAsia="pl-PL"/>
        </w:rPr>
        <w:t>03.12.2018r.</w:t>
      </w:r>
      <w:r>
        <w:rPr>
          <w:rFonts w:ascii="Garamond" w:eastAsia="Times New Roman" w:hAnsi="Garamond" w:cs="Times New Roman"/>
          <w:szCs w:val="24"/>
          <w:lang w:eastAsia="pl-PL"/>
        </w:rPr>
        <w:t xml:space="preserve"> pod rygorem uznania przez organizatora przetargu, że warunek wpłaty nie został spełniony. </w:t>
      </w:r>
    </w:p>
    <w:p w:rsidR="0013599F" w:rsidRDefault="0013599F" w:rsidP="0013599F">
      <w:pPr>
        <w:spacing w:after="0" w:line="360" w:lineRule="auto"/>
        <w:ind w:left="399"/>
        <w:jc w:val="both"/>
        <w:rPr>
          <w:rFonts w:ascii="Garamond" w:eastAsia="Times New Roman" w:hAnsi="Garamond" w:cs="Times New Roman"/>
          <w:sz w:val="4"/>
          <w:szCs w:val="4"/>
          <w:lang w:eastAsia="pl-PL"/>
        </w:rPr>
      </w:pPr>
    </w:p>
    <w:p w:rsidR="0013599F" w:rsidRDefault="0013599F" w:rsidP="0013599F">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Do przetargu dopuszczone zostaną osoby fizyczne lub prawne, kt</w:t>
      </w:r>
      <w:r>
        <w:rPr>
          <w:rFonts w:ascii="Garamond" w:eastAsia="Times New Roman" w:hAnsi="Garamond" w:cs="Garamond"/>
          <w:szCs w:val="24"/>
          <w:lang w:eastAsia="pl-PL"/>
        </w:rPr>
        <w:t>ó</w:t>
      </w:r>
      <w:r>
        <w:rPr>
          <w:rFonts w:ascii="Garamond" w:eastAsia="Times New Roman" w:hAnsi="Garamond" w:cs="Times New Roman"/>
          <w:szCs w:val="24"/>
          <w:lang w:eastAsia="pl-PL"/>
        </w:rPr>
        <w:t>re wpłacą wadium w ustalonej wysokości w wyznaczonym terminie, stawią się na przetarg osobiście lub w ich imieniu stawią się ich pe</w:t>
      </w:r>
      <w:r>
        <w:rPr>
          <w:rFonts w:ascii="Times New Roman" w:eastAsia="Times New Roman" w:hAnsi="Times New Roman" w:cs="Times New Roman"/>
          <w:szCs w:val="24"/>
          <w:lang w:eastAsia="pl-PL"/>
        </w:rPr>
        <w:t>ł</w:t>
      </w:r>
      <w:r>
        <w:rPr>
          <w:rFonts w:ascii="Garamond" w:eastAsia="Times New Roman" w:hAnsi="Garamond" w:cs="Times New Roman"/>
          <w:szCs w:val="24"/>
          <w:lang w:eastAsia="pl-PL"/>
        </w:rPr>
        <w:t>nomocnicy okazuj</w:t>
      </w:r>
      <w:r>
        <w:rPr>
          <w:rFonts w:ascii="Times New Roman" w:eastAsia="Times New Roman" w:hAnsi="Times New Roman" w:cs="Times New Roman"/>
          <w:szCs w:val="24"/>
          <w:lang w:eastAsia="pl-PL"/>
        </w:rPr>
        <w:t>ą</w:t>
      </w:r>
      <w:r>
        <w:rPr>
          <w:rFonts w:ascii="Garamond" w:eastAsia="Times New Roman" w:hAnsi="Garamond" w:cs="Times New Roman"/>
          <w:szCs w:val="24"/>
          <w:lang w:eastAsia="pl-PL"/>
        </w:rPr>
        <w:t>cy si</w:t>
      </w:r>
      <w:r>
        <w:rPr>
          <w:rFonts w:ascii="Times New Roman" w:eastAsia="Times New Roman" w:hAnsi="Times New Roman" w:cs="Times New Roman"/>
          <w:szCs w:val="24"/>
          <w:lang w:eastAsia="pl-PL"/>
        </w:rPr>
        <w:t>ę</w:t>
      </w:r>
      <w:r>
        <w:rPr>
          <w:rFonts w:ascii="Garamond" w:eastAsia="Times New Roman" w:hAnsi="Garamond" w:cs="Times New Roman"/>
          <w:szCs w:val="24"/>
          <w:lang w:eastAsia="pl-PL"/>
        </w:rPr>
        <w:t xml:space="preserve"> stosownym pe</w:t>
      </w:r>
      <w:r>
        <w:rPr>
          <w:rFonts w:ascii="Times New Roman" w:eastAsia="Times New Roman" w:hAnsi="Times New Roman" w:cs="Times New Roman"/>
          <w:szCs w:val="24"/>
          <w:lang w:eastAsia="pl-PL"/>
        </w:rPr>
        <w:t>ł</w:t>
      </w:r>
      <w:r>
        <w:rPr>
          <w:rFonts w:ascii="Garamond" w:eastAsia="Times New Roman" w:hAnsi="Garamond" w:cs="Times New Roman"/>
          <w:szCs w:val="24"/>
          <w:lang w:eastAsia="pl-PL"/>
        </w:rPr>
        <w:t>nomocnictwem, sporz</w:t>
      </w:r>
      <w:r>
        <w:rPr>
          <w:rFonts w:ascii="Times New Roman" w:eastAsia="Times New Roman" w:hAnsi="Times New Roman" w:cs="Times New Roman"/>
          <w:szCs w:val="24"/>
          <w:lang w:eastAsia="pl-PL"/>
        </w:rPr>
        <w:t>ą</w:t>
      </w:r>
      <w:r>
        <w:rPr>
          <w:rFonts w:ascii="Garamond" w:eastAsia="Times New Roman" w:hAnsi="Garamond" w:cs="Times New Roman"/>
          <w:szCs w:val="24"/>
          <w:lang w:eastAsia="pl-PL"/>
        </w:rPr>
        <w:t xml:space="preserve">dzonym w formie aktu notarialnego lub innej formie </w:t>
      </w:r>
      <w:r>
        <w:rPr>
          <w:rFonts w:ascii="Garamond" w:eastAsia="Times New Roman" w:hAnsi="Garamond" w:cs="Times New Roman"/>
          <w:szCs w:val="24"/>
          <w:lang w:eastAsia="pl-PL"/>
        </w:rPr>
        <w:br/>
        <w:t>z potwierdzeniem zgodności podpis</w:t>
      </w:r>
      <w:r>
        <w:rPr>
          <w:rFonts w:ascii="Garamond" w:eastAsia="Times New Roman" w:hAnsi="Garamond" w:cs="Garamond"/>
          <w:szCs w:val="24"/>
          <w:lang w:eastAsia="pl-PL"/>
        </w:rPr>
        <w:t>ó</w:t>
      </w:r>
      <w:r>
        <w:rPr>
          <w:rFonts w:ascii="Garamond" w:eastAsia="Times New Roman" w:hAnsi="Garamond" w:cs="Times New Roman"/>
          <w:szCs w:val="24"/>
          <w:lang w:eastAsia="pl-PL"/>
        </w:rPr>
        <w:t>w przez notariusza, a w przypadku os</w:t>
      </w:r>
      <w:r>
        <w:rPr>
          <w:rFonts w:ascii="Garamond" w:eastAsia="Times New Roman" w:hAnsi="Garamond" w:cs="Garamond"/>
          <w:szCs w:val="24"/>
          <w:lang w:eastAsia="pl-PL"/>
        </w:rPr>
        <w:t>ó</w:t>
      </w:r>
      <w:r>
        <w:rPr>
          <w:rFonts w:ascii="Garamond" w:eastAsia="Times New Roman" w:hAnsi="Garamond" w:cs="Times New Roman"/>
          <w:szCs w:val="24"/>
          <w:lang w:eastAsia="pl-PL"/>
        </w:rPr>
        <w:t>b prawnych dodatkowo dokumentami określonymi przepisami prawa, uprawniającymi do wzięcia udziału w przetargu, przedłożą komisji przetargowej dowody stwierdzające tożsamość.</w:t>
      </w:r>
    </w:p>
    <w:p w:rsidR="0013599F" w:rsidRDefault="0013599F" w:rsidP="0013599F">
      <w:pPr>
        <w:pStyle w:val="Akapitzlist"/>
        <w:numPr>
          <w:ilvl w:val="0"/>
          <w:numId w:val="1"/>
        </w:numPr>
        <w:tabs>
          <w:tab w:val="num" w:pos="426"/>
        </w:tabs>
        <w:spacing w:after="0" w:line="360" w:lineRule="auto"/>
        <w:jc w:val="both"/>
        <w:rPr>
          <w:rFonts w:ascii="Garamond" w:eastAsia="Times New Roman" w:hAnsi="Garamond" w:cs="Times New Roman"/>
          <w:b/>
          <w:szCs w:val="24"/>
          <w:lang w:eastAsia="pl-PL"/>
        </w:rPr>
      </w:pPr>
      <w:r>
        <w:rPr>
          <w:rFonts w:ascii="Garamond" w:eastAsia="Times New Roman" w:hAnsi="Garamond" w:cs="Times New Roman"/>
          <w:b/>
          <w:szCs w:val="24"/>
          <w:lang w:eastAsia="pl-PL"/>
        </w:rPr>
        <w:t>W przypadku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w, kt</w:t>
      </w:r>
      <w:r>
        <w:rPr>
          <w:rFonts w:ascii="Garamond" w:eastAsia="Times New Roman" w:hAnsi="Garamond" w:cs="Garamond"/>
          <w:b/>
          <w:szCs w:val="24"/>
          <w:lang w:eastAsia="pl-PL"/>
        </w:rPr>
        <w:t>ó</w:t>
      </w:r>
      <w:r>
        <w:rPr>
          <w:rFonts w:ascii="Garamond" w:eastAsia="Times New Roman" w:hAnsi="Garamond" w:cs="Times New Roman"/>
          <w:b/>
          <w:szCs w:val="24"/>
          <w:lang w:eastAsia="pl-PL"/>
        </w:rPr>
        <w:t>rzy nabywać będą nieruchomość do majątku wsp</w:t>
      </w:r>
      <w:r>
        <w:rPr>
          <w:rFonts w:ascii="Garamond" w:eastAsia="Times New Roman" w:hAnsi="Garamond" w:cs="Garamond"/>
          <w:b/>
          <w:szCs w:val="24"/>
          <w:lang w:eastAsia="pl-PL"/>
        </w:rPr>
        <w:t>ó</w:t>
      </w:r>
      <w:r>
        <w:rPr>
          <w:rFonts w:ascii="Garamond" w:eastAsia="Times New Roman" w:hAnsi="Garamond" w:cs="Times New Roman"/>
          <w:b/>
          <w:szCs w:val="24"/>
          <w:lang w:eastAsia="pl-PL"/>
        </w:rPr>
        <w:t>lnego, do dokonywania czynności przetargowych konieczna jest obecność obojga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 xml:space="preserve">w lub jednego z nich ze stosownym pełnomocnictwem /niekoniecznie w formie aktu notarialnego/ drugiego małżonka, upoważniającym do reprezentowania go w przetargu na zbycie nieruchomości, zawierającym dodatkowo zgodę na odpłatne nabycie nieruchomości. </w:t>
      </w:r>
    </w:p>
    <w:p w:rsidR="0013599F" w:rsidRDefault="0013599F" w:rsidP="0013599F">
      <w:pPr>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bCs/>
          <w:iCs/>
          <w:lang w:eastAsia="pl-PL"/>
        </w:rPr>
        <w:t>W przetargu mogą brać udział osoby fizyczne i prawne oraz cudzoziemcy na zasadach określonych w ustawie z dnia 24 marca 1920r. o nabywaniu nieruchomości przez cudzoziemców (</w:t>
      </w:r>
      <w:proofErr w:type="spellStart"/>
      <w:r>
        <w:rPr>
          <w:rFonts w:ascii="Garamond" w:eastAsia="Times New Roman" w:hAnsi="Garamond" w:cs="Times New Roman"/>
          <w:bCs/>
          <w:iCs/>
          <w:lang w:eastAsia="pl-PL"/>
        </w:rPr>
        <w:t>t.j</w:t>
      </w:r>
      <w:proofErr w:type="spellEnd"/>
      <w:r>
        <w:rPr>
          <w:rFonts w:ascii="Garamond" w:eastAsia="Times New Roman" w:hAnsi="Garamond" w:cs="Times New Roman"/>
          <w:bCs/>
          <w:iCs/>
          <w:lang w:eastAsia="pl-PL"/>
        </w:rPr>
        <w:t>. Dz.U. z 2017r. poz. 2278).</w:t>
      </w:r>
    </w:p>
    <w:p w:rsidR="0013599F" w:rsidRDefault="0013599F" w:rsidP="0013599F">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13599F" w:rsidRDefault="0013599F" w:rsidP="0013599F">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13599F" w:rsidRDefault="0013599F" w:rsidP="0013599F">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Protokół z przeprowadzonego przetargu stanowi podstawę zawarcia umowy notarialnej.</w:t>
      </w:r>
    </w:p>
    <w:p w:rsidR="0013599F" w:rsidRDefault="0013599F" w:rsidP="0013599F">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Nabywca zobowiązany jest zapłacić cenę nabywanej nieruchomości nie p</w:t>
      </w:r>
      <w:r>
        <w:rPr>
          <w:rFonts w:ascii="Garamond" w:eastAsia="Times New Roman" w:hAnsi="Garamond" w:cs="Garamond"/>
          <w:szCs w:val="24"/>
          <w:lang w:eastAsia="pl-PL"/>
        </w:rPr>
        <w:t>ó</w:t>
      </w:r>
      <w:r>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13599F" w:rsidRDefault="0013599F" w:rsidP="0013599F">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lastRenderedPageBreak/>
        <w:t>Osoba ustalona jako nabywca zostanie zawiadomiona o miejscu i terminie zawarcia umowy sprzedaży nieruchomości najp</w:t>
      </w:r>
      <w:r>
        <w:rPr>
          <w:rFonts w:ascii="Garamond" w:eastAsia="Times New Roman" w:hAnsi="Garamond" w:cs="Garamond"/>
          <w:szCs w:val="24"/>
          <w:lang w:eastAsia="pl-PL"/>
        </w:rPr>
        <w:t>ó</w:t>
      </w:r>
      <w:r>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13599F" w:rsidRDefault="0013599F" w:rsidP="0013599F">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Koszty zawarcia umowy notarialnej oraz koszty wpisów wieczysto-księgowych obciążają nabywcę.</w:t>
      </w:r>
    </w:p>
    <w:p w:rsidR="0013599F" w:rsidRDefault="0013599F" w:rsidP="0013599F">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Szczegółowych informacji dotyczących przedmiotu przetargu udzielają pracownicy Referatu Gospodarki Nieruchomościami Starostwa Powiatowego w Lęborku, pok. 220 i 221, II piętro, tel. /59/ 863 28 41. </w:t>
      </w:r>
    </w:p>
    <w:p w:rsidR="0013599F" w:rsidRDefault="0013599F" w:rsidP="0013599F">
      <w:pPr>
        <w:pStyle w:val="Akapitzlist"/>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Pr>
            <w:rStyle w:val="Hipercze"/>
            <w:rFonts w:ascii="Garamond" w:eastAsia="Times New Roman" w:hAnsi="Garamond" w:cs="Times New Roman"/>
            <w:szCs w:val="24"/>
            <w:lang w:eastAsia="pl-PL"/>
          </w:rPr>
          <w:t>www.powiat-lebork.com</w:t>
        </w:r>
      </w:hyperlink>
      <w:r w:rsidR="00CE5739">
        <w:rPr>
          <w:rStyle w:val="Hipercze"/>
          <w:rFonts w:ascii="Garamond" w:eastAsia="Times New Roman" w:hAnsi="Garamond" w:cs="Times New Roman"/>
          <w:szCs w:val="24"/>
          <w:lang w:eastAsia="pl-PL"/>
        </w:rPr>
        <w:t xml:space="preserve"> </w:t>
      </w:r>
      <w:r>
        <w:rPr>
          <w:rFonts w:ascii="Garamond" w:hAnsi="Garamond"/>
        </w:rPr>
        <w:t xml:space="preserve">(BIP), </w:t>
      </w:r>
      <w:r>
        <w:rPr>
          <w:rFonts w:ascii="Garamond" w:eastAsia="Times New Roman" w:hAnsi="Garamond" w:cs="Times New Roman"/>
          <w:szCs w:val="24"/>
          <w:lang w:eastAsia="pl-PL"/>
        </w:rPr>
        <w:t>na tablicy ogłoszeń tutejszego urzędu /parter/ oraz</w:t>
      </w:r>
      <w:r>
        <w:rPr>
          <w:rFonts w:ascii="Garamond" w:hAnsi="Garamond"/>
        </w:rPr>
        <w:t xml:space="preserve"> na tablicach ogłoszeń urzędu miasta Lęborka i Łeby, urzędów gmin Wicko, Nowa Wieś Lęborska </w:t>
      </w:r>
      <w:r w:rsidR="00CE5739">
        <w:rPr>
          <w:rFonts w:ascii="Garamond" w:hAnsi="Garamond"/>
        </w:rPr>
        <w:br/>
      </w:r>
      <w:r>
        <w:rPr>
          <w:rFonts w:ascii="Garamond" w:hAnsi="Garamond"/>
        </w:rPr>
        <w:t>i Cewice</w:t>
      </w:r>
      <w:r>
        <w:rPr>
          <w:rFonts w:ascii="Garamond" w:eastAsia="Times New Roman" w:hAnsi="Garamond" w:cs="Times New Roman"/>
          <w:szCs w:val="24"/>
          <w:lang w:eastAsia="pl-PL"/>
        </w:rPr>
        <w:t xml:space="preserve"> na okres </w:t>
      </w:r>
      <w:r>
        <w:rPr>
          <w:rFonts w:ascii="Garamond" w:eastAsia="Times New Roman" w:hAnsi="Garamond" w:cs="Times New Roman"/>
          <w:b/>
          <w:szCs w:val="24"/>
          <w:lang w:eastAsia="pl-PL"/>
        </w:rPr>
        <w:t xml:space="preserve">od 28.09.2018 r. do 07.12.2018 r. </w:t>
      </w:r>
      <w:r>
        <w:rPr>
          <w:rFonts w:ascii="Garamond" w:eastAsia="Times New Roman" w:hAnsi="Garamond" w:cs="Times New Roman"/>
          <w:szCs w:val="24"/>
          <w:lang w:eastAsia="pl-PL"/>
        </w:rPr>
        <w:t xml:space="preserve">Informacja o ogłoszeniu przetargu zostaje podana również w prasie regionalnej oraz w prasie ogólnopolskiej (wyciąg z ogłoszenia). </w:t>
      </w:r>
    </w:p>
    <w:p w:rsidR="0013599F" w:rsidRDefault="0013599F" w:rsidP="0013599F">
      <w:pPr>
        <w:numPr>
          <w:ilvl w:val="0"/>
          <w:numId w:val="1"/>
        </w:numPr>
        <w:spacing w:after="0" w:line="360" w:lineRule="auto"/>
        <w:jc w:val="both"/>
        <w:rPr>
          <w:rFonts w:ascii="Garamond" w:hAnsi="Garamond"/>
        </w:rPr>
      </w:pPr>
      <w:r>
        <w:rPr>
          <w:rFonts w:ascii="Garamond" w:hAnsi="Garamond"/>
        </w:rPr>
        <w:t>Oględzin nieru</w:t>
      </w:r>
      <w:r w:rsidR="00147AFC">
        <w:rPr>
          <w:rFonts w:ascii="Garamond" w:hAnsi="Garamond"/>
        </w:rPr>
        <w:t>chomości można dokonać w dniu 26 listopada</w:t>
      </w:r>
      <w:r>
        <w:rPr>
          <w:rFonts w:ascii="Garamond" w:hAnsi="Garamond"/>
        </w:rPr>
        <w:t xml:space="preserve"> 2018 roku w godzinach od 10:00 do 12:00, po wcześniejszym uzgodnieniu z pracownikami urzędu.</w:t>
      </w:r>
    </w:p>
    <w:p w:rsidR="0013599F" w:rsidRDefault="0013599F" w:rsidP="0013599F">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Zastrzega się prawo do odwołania przetargu z ważnych powodów. Zarząd Powiatu Lęborskiego poda do publicznej wiadomości informację o odwołaniu </w:t>
      </w:r>
      <w:r>
        <w:rPr>
          <w:rFonts w:ascii="Garamond" w:eastAsia="Times New Roman" w:hAnsi="Garamond" w:cs="Times New Roman"/>
          <w:szCs w:val="24"/>
          <w:lang w:eastAsia="pl-PL"/>
        </w:rPr>
        <w:br/>
        <w:t>z podaniem uzasadnionej przyczyny.</w:t>
      </w:r>
    </w:p>
    <w:p w:rsidR="0013599F" w:rsidRDefault="0013599F" w:rsidP="0013599F">
      <w:pPr>
        <w:tabs>
          <w:tab w:val="num" w:pos="426"/>
        </w:tabs>
        <w:spacing w:after="0" w:line="360" w:lineRule="auto"/>
        <w:ind w:left="360"/>
        <w:rPr>
          <w:rFonts w:ascii="Garamond" w:eastAsia="Times New Roman" w:hAnsi="Garamond" w:cs="Times New Roman"/>
          <w:u w:val="single"/>
          <w:lang w:eastAsia="pl-PL"/>
        </w:rPr>
      </w:pPr>
    </w:p>
    <w:p w:rsidR="0013599F" w:rsidRDefault="0013599F" w:rsidP="0013599F">
      <w:pPr>
        <w:pStyle w:val="Akapitzlist"/>
        <w:spacing w:after="0" w:line="360" w:lineRule="auto"/>
        <w:jc w:val="center"/>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Przetarg odbędzie się w </w:t>
      </w:r>
      <w:r w:rsidR="00CE5739">
        <w:rPr>
          <w:rFonts w:ascii="Garamond" w:eastAsia="Times New Roman" w:hAnsi="Garamond" w:cs="Times New Roman"/>
          <w:b/>
          <w:u w:val="single"/>
          <w:lang w:eastAsia="pl-PL"/>
        </w:rPr>
        <w:t xml:space="preserve">dniu </w:t>
      </w:r>
      <w:r>
        <w:rPr>
          <w:rFonts w:ascii="Garamond" w:eastAsia="Times New Roman" w:hAnsi="Garamond" w:cs="Times New Roman"/>
          <w:b/>
          <w:u w:val="single"/>
          <w:lang w:eastAsia="pl-PL"/>
        </w:rPr>
        <w:t xml:space="preserve">7 grudnia 2018 roku o godzinie 10:00 w sali nr 13 </w:t>
      </w:r>
      <w:r>
        <w:rPr>
          <w:rFonts w:ascii="Garamond" w:eastAsia="Times New Roman" w:hAnsi="Garamond" w:cs="Times New Roman"/>
          <w:u w:val="single"/>
          <w:lang w:eastAsia="pl-PL"/>
        </w:rPr>
        <w:t>Starostwa Powiatowego w Lęborku, ul. Czołgist</w:t>
      </w:r>
      <w:r>
        <w:rPr>
          <w:rFonts w:ascii="Garamond" w:eastAsia="Times New Roman" w:hAnsi="Garamond" w:cs="Garamond"/>
          <w:u w:val="single"/>
          <w:lang w:eastAsia="pl-PL"/>
        </w:rPr>
        <w:t>ó</w:t>
      </w:r>
      <w:r>
        <w:rPr>
          <w:rFonts w:ascii="Garamond" w:eastAsia="Times New Roman" w:hAnsi="Garamond" w:cs="Times New Roman"/>
          <w:u w:val="single"/>
          <w:lang w:eastAsia="pl-PL"/>
        </w:rPr>
        <w:t>w 5.</w:t>
      </w:r>
    </w:p>
    <w:p w:rsidR="005F70E0" w:rsidRDefault="005F70E0"/>
    <w:sectPr w:rsidR="005F70E0" w:rsidSect="0013599F">
      <w:pgSz w:w="16838" w:h="11906" w:orient="landscape"/>
      <w:pgMar w:top="709" w:right="1418"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7988D13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E38"/>
    <w:rsid w:val="0013599F"/>
    <w:rsid w:val="00147AFC"/>
    <w:rsid w:val="004B5928"/>
    <w:rsid w:val="005B2E38"/>
    <w:rsid w:val="005F70E0"/>
    <w:rsid w:val="00CE5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59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13599F"/>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13599F"/>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13599F"/>
    <w:pPr>
      <w:ind w:left="720"/>
      <w:contextualSpacing/>
    </w:pPr>
  </w:style>
  <w:style w:type="character" w:styleId="Uwydatnienie">
    <w:name w:val="Emphasis"/>
    <w:basedOn w:val="Domylnaczcionkaakapitu"/>
    <w:uiPriority w:val="20"/>
    <w:qFormat/>
    <w:rsid w:val="0013599F"/>
    <w:rPr>
      <w:i/>
      <w:iCs/>
    </w:rPr>
  </w:style>
  <w:style w:type="character" w:styleId="Hipercze">
    <w:name w:val="Hyperlink"/>
    <w:basedOn w:val="Domylnaczcionkaakapitu"/>
    <w:uiPriority w:val="99"/>
    <w:semiHidden/>
    <w:unhideWhenUsed/>
    <w:rsid w:val="0013599F"/>
    <w:rPr>
      <w:color w:val="0000FF"/>
      <w:u w:val="single"/>
    </w:rPr>
  </w:style>
  <w:style w:type="paragraph" w:styleId="Tekstdymka">
    <w:name w:val="Balloon Text"/>
    <w:basedOn w:val="Normalny"/>
    <w:link w:val="TekstdymkaZnak"/>
    <w:uiPriority w:val="99"/>
    <w:semiHidden/>
    <w:unhideWhenUsed/>
    <w:rsid w:val="001359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59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59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13599F"/>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13599F"/>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13599F"/>
    <w:pPr>
      <w:ind w:left="720"/>
      <w:contextualSpacing/>
    </w:pPr>
  </w:style>
  <w:style w:type="character" w:styleId="Uwydatnienie">
    <w:name w:val="Emphasis"/>
    <w:basedOn w:val="Domylnaczcionkaakapitu"/>
    <w:uiPriority w:val="20"/>
    <w:qFormat/>
    <w:rsid w:val="0013599F"/>
    <w:rPr>
      <w:i/>
      <w:iCs/>
    </w:rPr>
  </w:style>
  <w:style w:type="character" w:styleId="Hipercze">
    <w:name w:val="Hyperlink"/>
    <w:basedOn w:val="Domylnaczcionkaakapitu"/>
    <w:uiPriority w:val="99"/>
    <w:semiHidden/>
    <w:unhideWhenUsed/>
    <w:rsid w:val="0013599F"/>
    <w:rPr>
      <w:color w:val="0000FF"/>
      <w:u w:val="single"/>
    </w:rPr>
  </w:style>
  <w:style w:type="paragraph" w:styleId="Tekstdymka">
    <w:name w:val="Balloon Text"/>
    <w:basedOn w:val="Normalny"/>
    <w:link w:val="TekstdymkaZnak"/>
    <w:uiPriority w:val="99"/>
    <w:semiHidden/>
    <w:unhideWhenUsed/>
    <w:rsid w:val="001359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5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1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967</Words>
  <Characters>5802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4</cp:revision>
  <cp:lastPrinted>2018-09-20T10:56:00Z</cp:lastPrinted>
  <dcterms:created xsi:type="dcterms:W3CDTF">2018-09-20T10:16:00Z</dcterms:created>
  <dcterms:modified xsi:type="dcterms:W3CDTF">2018-09-20T11:03:00Z</dcterms:modified>
</cp:coreProperties>
</file>