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96D" w:rsidRDefault="0043596D" w:rsidP="0043596D">
      <w:pPr>
        <w:pStyle w:val="Tytu"/>
        <w:rPr>
          <w:rFonts w:ascii="Garamond" w:hAnsi="Garamond"/>
          <w:i w:val="0"/>
          <w:spacing w:val="20"/>
          <w:sz w:val="28"/>
          <w:szCs w:val="28"/>
        </w:rPr>
      </w:pPr>
      <w:r>
        <w:rPr>
          <w:rFonts w:ascii="Garamond" w:hAnsi="Garamond"/>
          <w:i w:val="0"/>
          <w:spacing w:val="20"/>
          <w:sz w:val="28"/>
          <w:szCs w:val="28"/>
        </w:rPr>
        <w:t>Zarząd Powiatu Lęborskiego</w:t>
      </w:r>
    </w:p>
    <w:p w:rsidR="0043596D" w:rsidRDefault="0043596D" w:rsidP="0043596D">
      <w:pPr>
        <w:pStyle w:val="Tytu"/>
        <w:spacing w:line="360" w:lineRule="auto"/>
        <w:rPr>
          <w:rFonts w:ascii="Garamond" w:hAnsi="Garamond"/>
          <w:i w:val="0"/>
          <w:sz w:val="26"/>
          <w:szCs w:val="26"/>
        </w:rPr>
      </w:pPr>
      <w:r>
        <w:rPr>
          <w:rFonts w:ascii="Garamond" w:hAnsi="Garamond"/>
          <w:i w:val="0"/>
          <w:sz w:val="26"/>
          <w:szCs w:val="26"/>
        </w:rPr>
        <w:t>84-300 Lębork, ul. Czołgist</w:t>
      </w:r>
      <w:r>
        <w:rPr>
          <w:rFonts w:ascii="Garamond" w:hAnsi="Garamond" w:cs="Garamond"/>
          <w:i w:val="0"/>
          <w:sz w:val="26"/>
          <w:szCs w:val="26"/>
        </w:rPr>
        <w:t>ó</w:t>
      </w:r>
      <w:r>
        <w:rPr>
          <w:rFonts w:ascii="Garamond" w:hAnsi="Garamond"/>
          <w:i w:val="0"/>
          <w:sz w:val="26"/>
          <w:szCs w:val="26"/>
        </w:rPr>
        <w:t>w 5</w:t>
      </w:r>
    </w:p>
    <w:p w:rsidR="0043596D" w:rsidRDefault="0043596D" w:rsidP="0043596D">
      <w:pPr>
        <w:pStyle w:val="Tytu"/>
        <w:rPr>
          <w:rFonts w:ascii="Garamond" w:hAnsi="Garamond"/>
          <w:b w:val="0"/>
          <w:bCs w:val="0"/>
          <w:i w:val="0"/>
          <w:iCs w:val="0"/>
          <w:sz w:val="24"/>
        </w:rPr>
      </w:pPr>
    </w:p>
    <w:p w:rsidR="0043596D" w:rsidRDefault="0043596D" w:rsidP="0043596D">
      <w:pPr>
        <w:pStyle w:val="Tytu"/>
        <w:jc w:val="both"/>
        <w:rPr>
          <w:rFonts w:ascii="Garamond" w:hAnsi="Garamond"/>
          <w:b w:val="0"/>
          <w:bCs w:val="0"/>
          <w:i w:val="0"/>
          <w:iCs w:val="0"/>
          <w:sz w:val="22"/>
          <w:szCs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Działając na podstawie art. 13 ust. 1, art. 25b, art. 38 ust. 1 i 2 ustawy z dnia 21 sierpnia 1997 roku </w:t>
      </w:r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br/>
        <w:t>o gospodarce nieruchomościami (Dz.U. z 2018</w:t>
      </w:r>
      <w:r w:rsidR="0012172C">
        <w:rPr>
          <w:rFonts w:ascii="Garamond" w:hAnsi="Garamond"/>
          <w:b w:val="0"/>
          <w:bCs w:val="0"/>
          <w:i w:val="0"/>
          <w:iCs w:val="0"/>
          <w:sz w:val="22"/>
          <w:szCs w:val="22"/>
        </w:rPr>
        <w:t xml:space="preserve"> </w:t>
      </w:r>
      <w:bookmarkStart w:id="0" w:name="_GoBack"/>
      <w:bookmarkEnd w:id="0"/>
      <w:r>
        <w:rPr>
          <w:rFonts w:ascii="Garamond" w:hAnsi="Garamond"/>
          <w:b w:val="0"/>
          <w:bCs w:val="0"/>
          <w:i w:val="0"/>
          <w:iCs w:val="0"/>
          <w:sz w:val="22"/>
          <w:szCs w:val="22"/>
        </w:rPr>
        <w:t>r. poz. 2204 ze zm.)</w:t>
      </w:r>
    </w:p>
    <w:p w:rsidR="0043596D" w:rsidRDefault="0043596D" w:rsidP="0043596D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4"/>
          <w:u w:val="single"/>
        </w:rPr>
      </w:pPr>
    </w:p>
    <w:p w:rsidR="0043596D" w:rsidRDefault="0043596D" w:rsidP="0043596D">
      <w:pPr>
        <w:pStyle w:val="Tytu"/>
        <w:ind w:left="360" w:firstLine="348"/>
        <w:rPr>
          <w:rFonts w:ascii="Garamond" w:hAnsi="Garamond"/>
          <w:b w:val="0"/>
          <w:bCs w:val="0"/>
          <w:i w:val="0"/>
          <w:sz w:val="24"/>
          <w:u w:val="single"/>
        </w:rPr>
      </w:pPr>
      <w:r>
        <w:rPr>
          <w:rFonts w:ascii="Garamond" w:hAnsi="Garamond"/>
          <w:b w:val="0"/>
          <w:bCs w:val="0"/>
          <w:i w:val="0"/>
          <w:sz w:val="24"/>
          <w:u w:val="single"/>
        </w:rPr>
        <w:t xml:space="preserve">ogłasza przetargi ustne nieograniczone na dzierżawę nieruchomości stanowiących mienie Powiatu Lęborskiego </w:t>
      </w:r>
    </w:p>
    <w:p w:rsidR="0043596D" w:rsidRDefault="0043596D" w:rsidP="0043596D">
      <w:pPr>
        <w:pStyle w:val="Tytu"/>
        <w:jc w:val="left"/>
        <w:rPr>
          <w:rFonts w:ascii="Garamond" w:hAnsi="Garamond"/>
          <w:b w:val="0"/>
          <w:bCs w:val="0"/>
          <w:i w:val="0"/>
          <w:iCs w:val="0"/>
          <w:sz w:val="24"/>
        </w:rPr>
      </w:pPr>
    </w:p>
    <w:p w:rsidR="0043596D" w:rsidRDefault="0043596D" w:rsidP="0043596D">
      <w:pPr>
        <w:pStyle w:val="Tytu"/>
        <w:numPr>
          <w:ilvl w:val="0"/>
          <w:numId w:val="1"/>
        </w:numPr>
        <w:tabs>
          <w:tab w:val="num" w:pos="360"/>
        </w:tabs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4"/>
        </w:rPr>
      </w:pPr>
      <w:r>
        <w:rPr>
          <w:rFonts w:ascii="Garamond" w:hAnsi="Garamond"/>
          <w:b w:val="0"/>
          <w:bCs w:val="0"/>
          <w:i w:val="0"/>
          <w:iCs w:val="0"/>
          <w:sz w:val="24"/>
        </w:rPr>
        <w:t>Przeznacza się od oddania w dzierżawę w drodze ustnych przetargów nieograniczonych na okres pięciu lat, niżej opisane nieruchomości.</w:t>
      </w:r>
    </w:p>
    <w:p w:rsidR="0043596D" w:rsidRDefault="0043596D" w:rsidP="0043596D">
      <w:pPr>
        <w:pStyle w:val="Tytu"/>
        <w:spacing w:line="276" w:lineRule="auto"/>
        <w:jc w:val="both"/>
        <w:rPr>
          <w:rFonts w:ascii="Garamond" w:hAnsi="Garamond"/>
          <w:b w:val="0"/>
          <w:bCs w:val="0"/>
          <w:i w:val="0"/>
          <w:iCs w:val="0"/>
          <w:sz w:val="10"/>
          <w:szCs w:val="10"/>
        </w:rPr>
      </w:pPr>
    </w:p>
    <w:p w:rsidR="0043596D" w:rsidRDefault="0043596D" w:rsidP="00F90FAA">
      <w:pPr>
        <w:spacing w:line="276" w:lineRule="auto"/>
        <w:rPr>
          <w:rFonts w:ascii="Garamond" w:hAnsi="Garamond"/>
          <w:b/>
        </w:rPr>
      </w:pPr>
      <w:r>
        <w:rPr>
          <w:rFonts w:ascii="Garamond" w:hAnsi="Garamond"/>
          <w:b/>
        </w:rPr>
        <w:t>Gmina: Nowa Wieś Lęborska, Obręb Małoszyce</w:t>
      </w:r>
    </w:p>
    <w:tbl>
      <w:tblPr>
        <w:tblpPr w:leftFromText="141" w:rightFromText="141" w:vertAnchor="text" w:horzAnchor="margin" w:tblpY="301"/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85"/>
        <w:gridCol w:w="1083"/>
        <w:gridCol w:w="937"/>
        <w:gridCol w:w="1472"/>
        <w:gridCol w:w="1985"/>
        <w:gridCol w:w="1399"/>
        <w:gridCol w:w="1436"/>
      </w:tblGrid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działki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Pow.</w:t>
            </w:r>
            <w:r w:rsidR="00F90FAA" w:rsidRPr="008851E4">
              <w:rPr>
                <w:rFonts w:ascii="Garamond" w:hAnsi="Garamond"/>
                <w:b/>
                <w:bCs/>
                <w:sz w:val="22"/>
                <w:szCs w:val="22"/>
              </w:rPr>
              <w:t xml:space="preserve"> </w:t>
            </w:r>
            <w:r w:rsidR="00F90FAA" w:rsidRPr="008851E4">
              <w:rPr>
                <w:rFonts w:ascii="Garamond" w:hAnsi="Garamond"/>
                <w:b/>
                <w:bCs/>
                <w:sz w:val="22"/>
                <w:szCs w:val="22"/>
              </w:rPr>
              <w:br/>
              <w:t>w ha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Rodzaj użytku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075DD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Pow.</w:t>
            </w:r>
            <w:r w:rsidR="00F90FAA" w:rsidRPr="008851E4">
              <w:rPr>
                <w:rFonts w:ascii="Garamond" w:hAnsi="Garamond"/>
                <w:b/>
                <w:bCs/>
                <w:sz w:val="22"/>
                <w:szCs w:val="22"/>
              </w:rPr>
              <w:t xml:space="preserve"> użytku </w:t>
            </w:r>
          </w:p>
          <w:p w:rsidR="00F90FAA" w:rsidRPr="008851E4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 xml:space="preserve">w </w:t>
            </w:r>
            <w:r w:rsidR="00F90FAA" w:rsidRPr="008851E4">
              <w:rPr>
                <w:rFonts w:ascii="Garamond" w:hAnsi="Garamond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księgi wieczystej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Wysokość wadium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F90FAA" w:rsidRPr="008851E4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Termin przetargu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 xml:space="preserve">Część 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działki nr 39/17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120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D075DD" w:rsidRPr="008851E4" w:rsidRDefault="00D075DD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10:00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2.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8.00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RIVa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RV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5.85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1.36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0.79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1B749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960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D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10:20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3.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11/28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2.7335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2.7335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1B749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320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D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10:40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4.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11/29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1.3656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1.3656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1B749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160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D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11:00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5.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17/10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2.4200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RIVa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0.0214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2.3986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1B749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D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11:20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6.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17/11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8.7000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RIIIb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RIVa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</w:rPr>
              <w:t>PsIII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3.5615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4.2737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0.8648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1B749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1040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D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11:40</w:t>
            </w:r>
          </w:p>
        </w:tc>
      </w:tr>
      <w:tr w:rsidR="008E50BA" w:rsidRPr="008851E4" w:rsidTr="008E50BA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7.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nr 215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14.4800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  <w:lang w:val="en-US"/>
              </w:rPr>
              <w:t>RIIIb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  <w:lang w:val="en-US"/>
              </w:rPr>
              <w:t>RIVa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  <w:lang w:val="en-US"/>
              </w:rPr>
              <w:t>RIVb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r w:rsidRPr="008851E4">
              <w:rPr>
                <w:rFonts w:ascii="Garamond" w:hAnsi="Garamond"/>
                <w:sz w:val="22"/>
                <w:szCs w:val="22"/>
                <w:lang w:val="en-US"/>
              </w:rPr>
              <w:t>RV</w:t>
            </w:r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  <w:proofErr w:type="spellStart"/>
            <w:r w:rsidRPr="008851E4">
              <w:rPr>
                <w:rFonts w:ascii="Garamond" w:hAnsi="Garamond"/>
                <w:sz w:val="22"/>
                <w:szCs w:val="22"/>
                <w:lang w:val="en-US"/>
              </w:rPr>
              <w:t>PsVI</w:t>
            </w:r>
            <w:proofErr w:type="spellEnd"/>
          </w:p>
          <w:p w:rsidR="00F90FAA" w:rsidRPr="0012172C" w:rsidRDefault="00F90FAA" w:rsidP="00F90FAA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12172C">
              <w:rPr>
                <w:rFonts w:ascii="Garamond" w:hAnsi="Garamond"/>
                <w:sz w:val="20"/>
                <w:szCs w:val="20"/>
                <w:lang w:val="en-US"/>
              </w:rPr>
              <w:t>Lz</w:t>
            </w:r>
            <w:r w:rsidR="0012172C" w:rsidRPr="0012172C">
              <w:rPr>
                <w:rFonts w:ascii="Garamond" w:hAnsi="Garamond"/>
                <w:sz w:val="20"/>
                <w:szCs w:val="20"/>
                <w:lang w:val="en-US"/>
              </w:rPr>
              <w:t>r</w:t>
            </w:r>
            <w:r w:rsidRPr="0012172C">
              <w:rPr>
                <w:rFonts w:ascii="Garamond" w:hAnsi="Garamond"/>
                <w:sz w:val="20"/>
                <w:szCs w:val="20"/>
                <w:lang w:val="en-US"/>
              </w:rPr>
              <w:t>-RIVa</w:t>
            </w:r>
            <w:proofErr w:type="spellEnd"/>
          </w:p>
          <w:p w:rsidR="00F90FAA" w:rsidRPr="0012172C" w:rsidRDefault="00F90FAA" w:rsidP="00F90FAA">
            <w:pPr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12172C">
              <w:rPr>
                <w:rFonts w:ascii="Garamond" w:hAnsi="Garamond"/>
                <w:sz w:val="20"/>
                <w:szCs w:val="20"/>
              </w:rPr>
              <w:t>Lz</w:t>
            </w:r>
            <w:r w:rsidR="0012172C">
              <w:rPr>
                <w:rFonts w:ascii="Garamond" w:hAnsi="Garamond"/>
                <w:sz w:val="20"/>
                <w:szCs w:val="20"/>
              </w:rPr>
              <w:t>r</w:t>
            </w:r>
            <w:r w:rsidRPr="0012172C">
              <w:rPr>
                <w:rFonts w:ascii="Garamond" w:hAnsi="Garamond"/>
                <w:sz w:val="20"/>
                <w:szCs w:val="20"/>
              </w:rPr>
              <w:t>-RIVb</w:t>
            </w:r>
            <w:proofErr w:type="spellEnd"/>
          </w:p>
          <w:p w:rsidR="00F90FAA" w:rsidRPr="008851E4" w:rsidRDefault="00F90FAA" w:rsidP="00F90FAA">
            <w:pPr>
              <w:spacing w:line="276" w:lineRule="auto"/>
              <w:jc w:val="both"/>
              <w:rPr>
                <w:rFonts w:ascii="Garamond" w:hAnsi="Garamond"/>
                <w:sz w:val="22"/>
                <w:szCs w:val="22"/>
              </w:rPr>
            </w:pPr>
            <w:proofErr w:type="spellStart"/>
            <w:r w:rsidRPr="0012172C">
              <w:rPr>
                <w:rFonts w:ascii="Garamond" w:hAnsi="Garamond"/>
                <w:sz w:val="20"/>
                <w:szCs w:val="20"/>
              </w:rPr>
              <w:t>Lz</w:t>
            </w:r>
            <w:r w:rsidR="0012172C">
              <w:rPr>
                <w:rFonts w:ascii="Garamond" w:hAnsi="Garamond"/>
                <w:sz w:val="20"/>
                <w:szCs w:val="20"/>
              </w:rPr>
              <w:t>r</w:t>
            </w:r>
            <w:r w:rsidRPr="0012172C">
              <w:rPr>
                <w:rFonts w:ascii="Garamond" w:hAnsi="Garamond"/>
                <w:sz w:val="20"/>
                <w:szCs w:val="20"/>
              </w:rPr>
              <w:t>-PsVI</w:t>
            </w:r>
            <w:proofErr w:type="spellEnd"/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4.5448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7.5352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1.4984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0.5747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0.1024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0.0211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0.0468</w:t>
            </w:r>
          </w:p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8851E4">
              <w:rPr>
                <w:rFonts w:ascii="Garamond" w:hAnsi="Garamond"/>
                <w:sz w:val="22"/>
                <w:szCs w:val="22"/>
              </w:rPr>
              <w:t>0.1566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F90FAA" w:rsidP="00F90FAA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8851E4">
              <w:rPr>
                <w:rFonts w:ascii="Garamond" w:hAnsi="Garamond"/>
                <w:b/>
                <w:bCs/>
                <w:sz w:val="22"/>
                <w:szCs w:val="22"/>
              </w:rPr>
              <w:t>SL1L/00029102/7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FAA" w:rsidRPr="008851E4" w:rsidRDefault="001B749A" w:rsidP="000756AE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1730 zł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5DD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29.11.2019</w:t>
            </w:r>
          </w:p>
          <w:p w:rsidR="00F90FAA" w:rsidRPr="008851E4" w:rsidRDefault="00D075DD" w:rsidP="00D075DD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godz. 12:00</w:t>
            </w:r>
          </w:p>
        </w:tc>
      </w:tr>
    </w:tbl>
    <w:p w:rsidR="00D075DD" w:rsidRPr="00D075DD" w:rsidRDefault="00D075DD" w:rsidP="00D075DD"/>
    <w:p w:rsidR="000E1C72" w:rsidRPr="000E1C72" w:rsidRDefault="000E1C72" w:rsidP="000E1C72"/>
    <w:p w:rsidR="0043596D" w:rsidRDefault="001B749A" w:rsidP="0043596D">
      <w:pPr>
        <w:pStyle w:val="Nagwek3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Nieruchomości niezabudowane stanowiące</w:t>
      </w:r>
      <w:r w:rsidR="0043596D">
        <w:rPr>
          <w:rFonts w:ascii="Garamond" w:hAnsi="Garamond"/>
          <w:sz w:val="22"/>
          <w:szCs w:val="22"/>
        </w:rPr>
        <w:t xml:space="preserve"> zgodnie z zapisem ewidencji gruntów i budynków użytki </w:t>
      </w:r>
      <w:r>
        <w:rPr>
          <w:rFonts w:ascii="Garamond" w:hAnsi="Garamond"/>
          <w:sz w:val="22"/>
          <w:szCs w:val="22"/>
        </w:rPr>
        <w:t>rolne, położone w północnej</w:t>
      </w:r>
      <w:r w:rsidR="0043596D">
        <w:rPr>
          <w:rFonts w:ascii="Garamond" w:hAnsi="Garamond"/>
          <w:sz w:val="22"/>
          <w:szCs w:val="22"/>
        </w:rPr>
        <w:t xml:space="preserve"> części miejscowości Małoszyce. Kształt dział</w:t>
      </w:r>
      <w:r>
        <w:rPr>
          <w:rFonts w:ascii="Garamond" w:hAnsi="Garamond"/>
          <w:sz w:val="22"/>
          <w:szCs w:val="22"/>
        </w:rPr>
        <w:t>ek</w:t>
      </w:r>
      <w:r w:rsidR="0043596D">
        <w:rPr>
          <w:rFonts w:ascii="Garamond" w:hAnsi="Garamond"/>
          <w:sz w:val="22"/>
          <w:szCs w:val="22"/>
        </w:rPr>
        <w:t xml:space="preserve"> nieregula</w:t>
      </w:r>
      <w:r>
        <w:rPr>
          <w:rFonts w:ascii="Garamond" w:hAnsi="Garamond"/>
          <w:sz w:val="22"/>
          <w:szCs w:val="22"/>
        </w:rPr>
        <w:t>rny.</w:t>
      </w:r>
      <w:r w:rsidR="0043596D">
        <w:rPr>
          <w:rFonts w:ascii="Garamond" w:hAnsi="Garamond"/>
          <w:sz w:val="22"/>
          <w:szCs w:val="22"/>
        </w:rPr>
        <w:t xml:space="preserve"> Część nieruchomości zakrzaczona, porośnięta drzewami samosiejkami. </w:t>
      </w:r>
      <w:r w:rsidR="00355FF0">
        <w:rPr>
          <w:rFonts w:ascii="Garamond" w:hAnsi="Garamond"/>
          <w:sz w:val="22"/>
          <w:szCs w:val="22"/>
        </w:rPr>
        <w:t xml:space="preserve">Wycinka drzewostanu, </w:t>
      </w:r>
      <w:r w:rsidR="0043596D">
        <w:rPr>
          <w:rFonts w:ascii="Garamond" w:hAnsi="Garamond"/>
          <w:sz w:val="22"/>
          <w:szCs w:val="22"/>
        </w:rPr>
        <w:t>w celu przywrócenia gruntów nieużytkowanych do rolniczego użytkowania</w:t>
      </w:r>
      <w:r w:rsidR="0012172C">
        <w:rPr>
          <w:rFonts w:ascii="Garamond" w:hAnsi="Garamond"/>
          <w:sz w:val="22"/>
          <w:szCs w:val="22"/>
        </w:rPr>
        <w:t>,</w:t>
      </w:r>
      <w:r w:rsidR="0043596D">
        <w:rPr>
          <w:rFonts w:ascii="Garamond" w:hAnsi="Garamond"/>
          <w:sz w:val="22"/>
          <w:szCs w:val="22"/>
        </w:rPr>
        <w:t xml:space="preserve"> może nastąpić wyłącznie za zgodą Wydzierżawiającego, po uzyskaniu stosownego zezwolenia Wójta Gminy Nowa Wieś Lęborska, zgodnie z obowiązującymi w tym zakresie przepisami prawa. Koszty wycinki w całości obciążają Dzierżawcę nieruchomości. </w:t>
      </w:r>
    </w:p>
    <w:p w:rsidR="0043596D" w:rsidRDefault="0043596D" w:rsidP="0043596D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4"/>
          <w:szCs w:val="4"/>
        </w:rPr>
      </w:pPr>
    </w:p>
    <w:p w:rsidR="0043596D" w:rsidRDefault="0043596D" w:rsidP="0043596D">
      <w:pPr>
        <w:pStyle w:val="Tytu"/>
        <w:spacing w:line="360" w:lineRule="auto"/>
        <w:jc w:val="both"/>
        <w:rPr>
          <w:rFonts w:ascii="Garamond" w:hAnsi="Garamond"/>
          <w:b w:val="0"/>
          <w:bCs w:val="0"/>
          <w:i w:val="0"/>
          <w:iCs w:val="0"/>
          <w:sz w:val="22"/>
          <w:u w:val="single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2.   </w:t>
      </w:r>
      <w:r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>Przeznaczenie ww. nieruchomości:</w:t>
      </w:r>
    </w:p>
    <w:p w:rsidR="0043596D" w:rsidRDefault="0043596D" w:rsidP="0043596D">
      <w:pPr>
        <w:pStyle w:val="Tytu"/>
        <w:spacing w:line="360" w:lineRule="auto"/>
        <w:ind w:left="360" w:hanging="360"/>
        <w:jc w:val="both"/>
        <w:rPr>
          <w:rFonts w:ascii="Garamond" w:hAnsi="Garamond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     Działki przeznacza się do wydzierżawienia z przeznaczeniem </w:t>
      </w:r>
      <w:r w:rsidR="000756AE">
        <w:rPr>
          <w:rFonts w:ascii="Garamond" w:hAnsi="Garamond"/>
          <w:bCs w:val="0"/>
          <w:i w:val="0"/>
          <w:iCs w:val="0"/>
          <w:sz w:val="22"/>
        </w:rPr>
        <w:t>na cele rolnicze</w:t>
      </w:r>
      <w:r>
        <w:rPr>
          <w:rFonts w:ascii="Garamond" w:hAnsi="Garamond"/>
          <w:bCs w:val="0"/>
          <w:i w:val="0"/>
          <w:iCs w:val="0"/>
          <w:sz w:val="22"/>
        </w:rPr>
        <w:t xml:space="preserve"> (działalność rolniczą).</w:t>
      </w:r>
    </w:p>
    <w:p w:rsidR="0043596D" w:rsidRDefault="0043596D" w:rsidP="0043596D">
      <w:pPr>
        <w:rPr>
          <w:rFonts w:ascii="Garamond" w:hAnsi="Garamond"/>
          <w:sz w:val="2"/>
        </w:rPr>
      </w:pPr>
    </w:p>
    <w:p w:rsidR="00355FF0" w:rsidRDefault="00355FF0" w:rsidP="0052592C">
      <w:pPr>
        <w:pStyle w:val="Tytu"/>
        <w:numPr>
          <w:ilvl w:val="0"/>
          <w:numId w:val="2"/>
        </w:numPr>
        <w:tabs>
          <w:tab w:val="num" w:pos="360"/>
        </w:tabs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 w:rsidRPr="00355FF0">
        <w:rPr>
          <w:rFonts w:ascii="Garamond" w:hAnsi="Garamond"/>
          <w:b w:val="0"/>
          <w:bCs w:val="0"/>
          <w:i w:val="0"/>
          <w:iCs w:val="0"/>
          <w:sz w:val="22"/>
        </w:rPr>
        <w:t>Działki będące przedmiotem przetargu objęte są miejscowym planem zagospodarowania przestrzennego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 Zgodnie z zapisami planu:</w:t>
      </w:r>
    </w:p>
    <w:p w:rsidR="00355FF0" w:rsidRDefault="00355FF0" w:rsidP="0052592C">
      <w:pPr>
        <w:pStyle w:val="Tytu"/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lastRenderedPageBreak/>
        <w:t xml:space="preserve">- działka </w:t>
      </w:r>
      <w:r w:rsidRPr="00355FF0">
        <w:rPr>
          <w:rFonts w:ascii="Garamond" w:hAnsi="Garamond"/>
          <w:b w:val="0"/>
          <w:bCs w:val="0"/>
          <w:i w:val="0"/>
          <w:iCs w:val="0"/>
          <w:sz w:val="22"/>
        </w:rPr>
        <w:t>nr 39/17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przeznaczona j</w:t>
      </w:r>
      <w:r w:rsidR="000756AE">
        <w:rPr>
          <w:rFonts w:ascii="Garamond" w:hAnsi="Garamond"/>
          <w:b w:val="0"/>
          <w:bCs w:val="0"/>
          <w:i w:val="0"/>
          <w:iCs w:val="0"/>
          <w:sz w:val="22"/>
        </w:rPr>
        <w:t>est na usługi związane z obsługą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ruchu turystycznego,</w:t>
      </w:r>
    </w:p>
    <w:p w:rsidR="00355FF0" w:rsidRDefault="00355FF0" w:rsidP="0052592C">
      <w:pPr>
        <w:pStyle w:val="Tytu"/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- działka nr 9 przeznaczona jest pod zabudowę mies</w:t>
      </w:r>
      <w:r w:rsidR="000756AE">
        <w:rPr>
          <w:rFonts w:ascii="Garamond" w:hAnsi="Garamond"/>
          <w:b w:val="0"/>
          <w:bCs w:val="0"/>
          <w:i w:val="0"/>
          <w:iCs w:val="0"/>
          <w:sz w:val="22"/>
        </w:rPr>
        <w:t>zkaniową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jednorodzinną o charakterze rezydencjonalnym,</w:t>
      </w:r>
    </w:p>
    <w:p w:rsidR="00355FF0" w:rsidRDefault="00355FF0" w:rsidP="0052592C">
      <w:pPr>
        <w:pStyle w:val="Tytu"/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- działka nr 11/28 przeznaczona jest na usługi sportu i rekreacji jako przestrzenie ogólnodostępne,</w:t>
      </w:r>
    </w:p>
    <w:p w:rsidR="00355FF0" w:rsidRDefault="00355FF0" w:rsidP="0052592C">
      <w:pPr>
        <w:pStyle w:val="Tytu"/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- działka nr 11/29 stanowi rezerwę terenu pod cmentarz</w:t>
      </w:r>
      <w:r w:rsidR="00601C28">
        <w:rPr>
          <w:rFonts w:ascii="Garamond" w:hAnsi="Garamond"/>
          <w:b w:val="0"/>
          <w:bCs w:val="0"/>
          <w:i w:val="0"/>
          <w:iCs w:val="0"/>
          <w:sz w:val="22"/>
        </w:rPr>
        <w:t xml:space="preserve"> 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wraz</w:t>
      </w:r>
      <w:r w:rsidR="00601C28">
        <w:rPr>
          <w:rFonts w:ascii="Garamond" w:hAnsi="Garamond"/>
          <w:b w:val="0"/>
          <w:bCs w:val="0"/>
          <w:i w:val="0"/>
          <w:iCs w:val="0"/>
          <w:sz w:val="22"/>
        </w:rPr>
        <w:t xml:space="preserve"> z zielenią towarzyszącą</w:t>
      </w:r>
      <w:r>
        <w:rPr>
          <w:rFonts w:ascii="Garamond" w:hAnsi="Garamond"/>
          <w:b w:val="0"/>
          <w:bCs w:val="0"/>
          <w:i w:val="0"/>
          <w:iCs w:val="0"/>
          <w:sz w:val="22"/>
        </w:rPr>
        <w:t>,</w:t>
      </w:r>
    </w:p>
    <w:p w:rsidR="00355FF0" w:rsidRDefault="000756AE" w:rsidP="0052592C">
      <w:pPr>
        <w:pStyle w:val="Tytu"/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- działki</w:t>
      </w:r>
      <w:r w:rsidR="00601C28">
        <w:rPr>
          <w:rFonts w:ascii="Garamond" w:hAnsi="Garamond"/>
          <w:b w:val="0"/>
          <w:bCs w:val="0"/>
          <w:i w:val="0"/>
          <w:iCs w:val="0"/>
          <w:sz w:val="22"/>
        </w:rPr>
        <w:t xml:space="preserve"> nr 17/10 i 17/11 przeznaczone są pod zabudowę mieszkaniową jednorodzinną,</w:t>
      </w:r>
    </w:p>
    <w:p w:rsidR="00601C28" w:rsidRPr="00355FF0" w:rsidRDefault="00601C28" w:rsidP="0052592C">
      <w:pPr>
        <w:pStyle w:val="Tytu"/>
        <w:spacing w:line="276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- działka nr 215 przeznaczona jest pod zabudowę mieszkaniowa jednorodzinną o charakterze rezydencjonalnym,</w:t>
      </w:r>
    </w:p>
    <w:p w:rsidR="0043596D" w:rsidRDefault="0043596D" w:rsidP="0043596D">
      <w:pPr>
        <w:pStyle w:val="Tytu"/>
        <w:numPr>
          <w:ilvl w:val="0"/>
          <w:numId w:val="2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Cs w:val="0"/>
          <w:i w:val="0"/>
          <w:iCs w:val="0"/>
          <w:sz w:val="22"/>
        </w:rPr>
      </w:pPr>
      <w:r>
        <w:rPr>
          <w:rFonts w:ascii="Garamond" w:hAnsi="Garamond"/>
          <w:bCs w:val="0"/>
          <w:i w:val="0"/>
          <w:iCs w:val="0"/>
          <w:sz w:val="22"/>
        </w:rPr>
        <w:t>Wysokość opłat z tytułu dzierżawy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: wysokość rocznego czynszu dzierżawnego zostanie ustalona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 xml:space="preserve">w wyniku ustnych przetargów nieograniczonych. Wywoławcza roczna wysokość czynszu dzierżawnego wynosi </w:t>
      </w:r>
      <w:r>
        <w:rPr>
          <w:rFonts w:ascii="Garamond" w:hAnsi="Garamond"/>
          <w:bCs w:val="0"/>
          <w:i w:val="0"/>
          <w:iCs w:val="0"/>
          <w:sz w:val="22"/>
        </w:rPr>
        <w:t xml:space="preserve">600 zł 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/słownie złotych: sześćset 00/100/ za </w:t>
      </w:r>
      <w:smartTag w:uri="urn:schemas-microsoft-com:office:smarttags" w:element="metricconverter">
        <w:smartTagPr>
          <w:attr w:name="ProductID" w:val="1 ha"/>
        </w:smartTagPr>
        <w:r>
          <w:rPr>
            <w:rFonts w:ascii="Garamond" w:hAnsi="Garamond"/>
            <w:b w:val="0"/>
            <w:bCs w:val="0"/>
            <w:i w:val="0"/>
            <w:iCs w:val="0"/>
            <w:sz w:val="22"/>
          </w:rPr>
          <w:t>1 ha</w:t>
        </w:r>
      </w:smartTag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 fizyczny dzierżawionego gruntu. Czynsz dzierżawny płatny będzie do 30 czerwca każdego roku trwania dzierżawy, bez dodatkowego wezwania.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 xml:space="preserve">W pierwszym roku czynsz płatny będzie z góry </w:t>
      </w:r>
      <w:r>
        <w:rPr>
          <w:rFonts w:ascii="Garamond" w:hAnsi="Garamond"/>
          <w:bCs w:val="0"/>
          <w:i w:val="0"/>
          <w:iCs w:val="0"/>
          <w:sz w:val="22"/>
        </w:rPr>
        <w:t xml:space="preserve">w terminie 14 dni od daty zawarcia umowy dzierżawy. </w:t>
      </w:r>
    </w:p>
    <w:p w:rsidR="0043596D" w:rsidRDefault="0043596D" w:rsidP="0043596D">
      <w:pPr>
        <w:pStyle w:val="Tytu"/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Cs w:val="0"/>
          <w:i w:val="0"/>
          <w:iCs w:val="0"/>
          <w:sz w:val="22"/>
        </w:rPr>
        <w:t xml:space="preserve">Zasady aktualizacji opłat: 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Stawka czynszu dzierżawnego będzie waloryzowana raz do roku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>o wskaźnik wzrostu cen towar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i usług konsumpcyjnych za rok poprzedni, po ogłoszeniu przez Prezesa GUS, z mocą obowiązującą od 1 stycznia danego roku kalendarzowego.</w:t>
      </w:r>
    </w:p>
    <w:p w:rsidR="0043596D" w:rsidRDefault="0043596D" w:rsidP="0043596D">
      <w:pPr>
        <w:pStyle w:val="Tekstpodstawowywcity"/>
        <w:numPr>
          <w:ilvl w:val="0"/>
          <w:numId w:val="3"/>
        </w:numPr>
        <w:tabs>
          <w:tab w:val="num" w:pos="399"/>
        </w:tabs>
        <w:ind w:left="456" w:hanging="456"/>
        <w:rPr>
          <w:rFonts w:ascii="Garamond" w:hAnsi="Garamond"/>
        </w:rPr>
      </w:pPr>
      <w:r>
        <w:rPr>
          <w:rFonts w:ascii="Garamond" w:hAnsi="Garamond"/>
          <w:b/>
        </w:rPr>
        <w:t>Wadium</w:t>
      </w:r>
      <w:r>
        <w:rPr>
          <w:rFonts w:ascii="Garamond" w:hAnsi="Garamond"/>
        </w:rPr>
        <w:t xml:space="preserve"> należy przelać na konto: Starostwo Powiatowe w Lęborku, Bank Sp</w:t>
      </w:r>
      <w:r>
        <w:rPr>
          <w:rFonts w:ascii="Garamond" w:hAnsi="Garamond" w:cs="Garamond"/>
        </w:rPr>
        <w:t>ó</w:t>
      </w:r>
      <w:r>
        <w:rPr>
          <w:rFonts w:ascii="Garamond" w:hAnsi="Garamond"/>
        </w:rPr>
        <w:t xml:space="preserve">łdzielczy w Łebie, Filia Lębork Nr 07 9324 0008 0002 8701 2000 0380 lub wpłacić w kasie Starostwa </w:t>
      </w:r>
      <w:r>
        <w:rPr>
          <w:rFonts w:ascii="Garamond" w:hAnsi="Garamond" w:cs="Garamond"/>
        </w:rPr>
        <w:t>–</w:t>
      </w:r>
      <w:r>
        <w:rPr>
          <w:rFonts w:ascii="Garamond" w:hAnsi="Garamond"/>
        </w:rPr>
        <w:t xml:space="preserve"> pok. Nr 3 najp</w:t>
      </w:r>
      <w:r>
        <w:rPr>
          <w:rFonts w:ascii="Garamond" w:hAnsi="Garamond" w:cs="Garamond"/>
        </w:rPr>
        <w:t>ó</w:t>
      </w:r>
      <w:r>
        <w:rPr>
          <w:rFonts w:ascii="Garamond" w:hAnsi="Garamond"/>
        </w:rPr>
        <w:t xml:space="preserve">źniej do dnia </w:t>
      </w:r>
      <w:r w:rsidR="008E50BA">
        <w:rPr>
          <w:rFonts w:ascii="Garamond" w:hAnsi="Garamond"/>
          <w:b/>
        </w:rPr>
        <w:t>25 listopada</w:t>
      </w:r>
      <w:r>
        <w:rPr>
          <w:rFonts w:ascii="Garamond" w:hAnsi="Garamond"/>
          <w:b/>
        </w:rPr>
        <w:t xml:space="preserve"> 2019</w:t>
      </w:r>
      <w:r>
        <w:rPr>
          <w:rFonts w:ascii="Garamond" w:hAnsi="Garamond"/>
        </w:rPr>
        <w:t xml:space="preserve"> roku. W przypadku wpłaty wadium na konto środki pieniężne muszą </w:t>
      </w:r>
      <w:r>
        <w:rPr>
          <w:rFonts w:ascii="Garamond" w:hAnsi="Garamond"/>
          <w:u w:val="single"/>
        </w:rPr>
        <w:t>wpłynąć na rachunek bankowy</w:t>
      </w:r>
      <w:r>
        <w:rPr>
          <w:rFonts w:ascii="Garamond" w:hAnsi="Garamond"/>
        </w:rPr>
        <w:t xml:space="preserve"> najpóźniej w dniu </w:t>
      </w:r>
      <w:r w:rsidR="008E50BA">
        <w:rPr>
          <w:rFonts w:ascii="Garamond" w:hAnsi="Garamond"/>
          <w:b/>
        </w:rPr>
        <w:t xml:space="preserve">25 listopada </w:t>
      </w:r>
      <w:r>
        <w:rPr>
          <w:rFonts w:ascii="Garamond" w:hAnsi="Garamond"/>
          <w:b/>
        </w:rPr>
        <w:t>2019r.,</w:t>
      </w:r>
      <w:r>
        <w:rPr>
          <w:rFonts w:ascii="Garamond" w:hAnsi="Garamond"/>
        </w:rPr>
        <w:t xml:space="preserve"> pod rygorem uznania przez organizatora przetargu, że warunek wpłaty nie został spełniony. </w:t>
      </w:r>
    </w:p>
    <w:p w:rsidR="0043596D" w:rsidRDefault="00601C28" w:rsidP="0043596D">
      <w:pPr>
        <w:pStyle w:val="Tekstpodstawowywcity"/>
        <w:ind w:left="456" w:firstLine="0"/>
        <w:rPr>
          <w:rFonts w:ascii="Garamond" w:hAnsi="Garamond"/>
        </w:rPr>
      </w:pPr>
      <w:r>
        <w:rPr>
          <w:rFonts w:ascii="Garamond" w:hAnsi="Garamond"/>
        </w:rPr>
        <w:t xml:space="preserve">W tytule przelewu wpłaty wadium należy obowiązkowo zaznaczyć jakiej nieruchomości dotyczy wpłata wadium. </w:t>
      </w:r>
      <w:r w:rsidR="0043596D">
        <w:rPr>
          <w:rFonts w:ascii="Garamond" w:hAnsi="Garamond"/>
        </w:rPr>
        <w:t>Osoby wpłacające wadium na konkretną nieruchomość będą uczestniczyły w licytacji tylko tej nieruchomości, na kt</w:t>
      </w:r>
      <w:r w:rsidR="0043596D">
        <w:rPr>
          <w:rFonts w:ascii="Garamond" w:hAnsi="Garamond" w:cs="Garamond"/>
        </w:rPr>
        <w:t>ó</w:t>
      </w:r>
      <w:r w:rsidR="0043596D">
        <w:rPr>
          <w:rFonts w:ascii="Garamond" w:hAnsi="Garamond"/>
        </w:rPr>
        <w:t>rą zostało wpłacone wadium.</w:t>
      </w:r>
    </w:p>
    <w:p w:rsidR="0043596D" w:rsidRDefault="0043596D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Do przetargu dopuszczone zostaną osoby fizyczne lub prawne,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re wpłacą wadium </w:t>
      </w:r>
      <w:r>
        <w:rPr>
          <w:rFonts w:ascii="Garamond" w:hAnsi="Garamond"/>
          <w:b w:val="0"/>
          <w:bCs w:val="0"/>
          <w:i w:val="0"/>
          <w:iCs w:val="0"/>
          <w:sz w:val="22"/>
        </w:rPr>
        <w:br/>
        <w:t>w ustalonej wysokości w wyznaczonym terminie, stawią się na przetarg osobiście lub w ich imieniu stawią się ich pełnomocnicy okazujący się stosownym pełnomocnictwem, sporządzonym w formie aktu notarialnego lub innej formie z potwierdzeniem zgodności podpis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przez notariusza, a w przypadku osób prawnych dodatkowo dokumentami określonymi przepisami prawa, uprawniającymi do wzięcia udziału w przetargu, przedłożą komisji przetargowej dowody stwierdzające tożsamość.</w:t>
      </w:r>
    </w:p>
    <w:p w:rsidR="00601C28" w:rsidRDefault="00601C28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 przypadku gdy uczestnik przetargu pozostaje we wspólności majątkowej małżeńskiej powinien przedłożyć Komisji Przetargowej zgodę współmałżonka na dokonywanie wszelkich czynności faktycznych i prawnych dotyczących uczestnictwa w przetargu w tym zapłaty wadium.</w:t>
      </w:r>
    </w:p>
    <w:p w:rsidR="0043596D" w:rsidRDefault="0043596D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zwraca się niezwłocznie po odwołaniu lub zamknięciu przetargu, jednak nie później niż przed upływem 3 dni od dnia zamknięcia, odwołania, unieważnienia lub zakończenia przetargu wynikiem negatywnym.</w:t>
      </w:r>
    </w:p>
    <w:p w:rsidR="0043596D" w:rsidRDefault="0043596D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Wadium wniesione przez uczestnika przetargu, który przetarg wygrał, zaliczone zostanie na poczet czynszu dzierżawnego.</w:t>
      </w:r>
    </w:p>
    <w:p w:rsidR="0043596D" w:rsidRDefault="0043596D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sz w:val="24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lastRenderedPageBreak/>
        <w:t>Protokół z przeprowadzonego przetargu stanowi podstawę zawarcia umowy dzierżawy. Umowa zostanie zaw</w:t>
      </w:r>
      <w:r w:rsidR="003D4752">
        <w:rPr>
          <w:rFonts w:ascii="Garamond" w:hAnsi="Garamond"/>
          <w:b w:val="0"/>
          <w:bCs w:val="0"/>
          <w:i w:val="0"/>
          <w:iCs w:val="0"/>
          <w:sz w:val="22"/>
        </w:rPr>
        <w:t xml:space="preserve">arta nie wcześniej niż w dniu </w:t>
      </w:r>
      <w:r w:rsidR="003D4752" w:rsidRPr="003D4752"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>16.12</w:t>
      </w:r>
      <w:r w:rsidRPr="003D4752">
        <w:rPr>
          <w:rFonts w:ascii="Garamond" w:hAnsi="Garamond"/>
          <w:b w:val="0"/>
          <w:bCs w:val="0"/>
          <w:i w:val="0"/>
          <w:iCs w:val="0"/>
          <w:sz w:val="22"/>
          <w:u w:val="single"/>
        </w:rPr>
        <w:t>.2019 roku</w:t>
      </w:r>
      <w:r>
        <w:rPr>
          <w:rFonts w:ascii="Garamond" w:hAnsi="Garamond"/>
          <w:b w:val="0"/>
          <w:bCs w:val="0"/>
          <w:i w:val="0"/>
          <w:iCs w:val="0"/>
          <w:sz w:val="22"/>
        </w:rPr>
        <w:t>. Gdy oferent, kt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ry wygra przetarg uchyli się od zawarcia umowy, wpłacone wadium nie podlega zwrotowi.</w:t>
      </w:r>
    </w:p>
    <w:p w:rsidR="0043596D" w:rsidRDefault="0043596D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 w:val="0"/>
          <w:i w:val="0"/>
          <w:sz w:val="22"/>
          <w:szCs w:val="22"/>
        </w:rPr>
      </w:pPr>
      <w:r>
        <w:rPr>
          <w:rFonts w:ascii="Garamond" w:hAnsi="Garamond"/>
          <w:b w:val="0"/>
          <w:i w:val="0"/>
          <w:sz w:val="22"/>
          <w:szCs w:val="22"/>
        </w:rPr>
        <w:t xml:space="preserve">Dzierżawca zobowiązany będzie do ponoszenia, oprócz czynszu dzierżawnego, wszelkich obciążeń publiczno-prawnych przypadających na przedmiot dzierżawy, w tym należnego podatku, zgodnie </w:t>
      </w:r>
      <w:r>
        <w:rPr>
          <w:rFonts w:ascii="Garamond" w:hAnsi="Garamond"/>
          <w:b w:val="0"/>
          <w:i w:val="0"/>
          <w:sz w:val="22"/>
          <w:szCs w:val="22"/>
        </w:rPr>
        <w:br/>
        <w:t xml:space="preserve">z obowiązującymi przepisami. </w:t>
      </w:r>
    </w:p>
    <w:p w:rsidR="0043596D" w:rsidRDefault="0043596D" w:rsidP="0043596D">
      <w:pPr>
        <w:pStyle w:val="Tytu"/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bCs w:val="0"/>
          <w:i w:val="0"/>
          <w:iCs w:val="0"/>
          <w:sz w:val="22"/>
        </w:rPr>
      </w:pPr>
      <w:r>
        <w:rPr>
          <w:rFonts w:ascii="Garamond" w:hAnsi="Garamond"/>
          <w:b w:val="0"/>
          <w:bCs w:val="0"/>
          <w:i w:val="0"/>
          <w:iCs w:val="0"/>
          <w:sz w:val="22"/>
        </w:rPr>
        <w:t>Ogłoszenie podaje się do publicznej wiadomości poprzez wywieszenie na tablicy ogłoszeń: Starostwa Powiatowego w Lęborku ul Czołgist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>w 5, Urzędu Miasta Lęborka i Łeby, Urzęd</w:t>
      </w:r>
      <w:r>
        <w:rPr>
          <w:rFonts w:ascii="Garamond" w:hAnsi="Garamond" w:cs="Garamond"/>
          <w:b w:val="0"/>
          <w:bCs w:val="0"/>
          <w:i w:val="0"/>
          <w:iCs w:val="0"/>
          <w:sz w:val="22"/>
        </w:rPr>
        <w:t>ó</w:t>
      </w:r>
      <w:r>
        <w:rPr>
          <w:rFonts w:ascii="Garamond" w:hAnsi="Garamond"/>
          <w:b w:val="0"/>
          <w:bCs w:val="0"/>
          <w:i w:val="0"/>
          <w:iCs w:val="0"/>
          <w:sz w:val="22"/>
        </w:rPr>
        <w:t xml:space="preserve">w Gmin: Nowa Wieś Lęborska, Cewice, Wicko oraz umieszczenie na stronie internetowej Starostwa www.powiat-lebork.com na okres od </w:t>
      </w:r>
      <w:r w:rsidR="003D4752">
        <w:rPr>
          <w:rFonts w:ascii="Garamond" w:hAnsi="Garamond"/>
          <w:bCs w:val="0"/>
          <w:i w:val="0"/>
          <w:iCs w:val="0"/>
          <w:sz w:val="22"/>
        </w:rPr>
        <w:t>25 października 2019 roku do 29 listopada</w:t>
      </w:r>
      <w:r>
        <w:rPr>
          <w:rFonts w:ascii="Garamond" w:hAnsi="Garamond"/>
          <w:bCs w:val="0"/>
          <w:i w:val="0"/>
          <w:iCs w:val="0"/>
          <w:sz w:val="22"/>
        </w:rPr>
        <w:t xml:space="preserve"> 2019 roku. </w:t>
      </w:r>
    </w:p>
    <w:p w:rsidR="0043596D" w:rsidRDefault="0043596D" w:rsidP="0043596D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sz w:val="22"/>
        </w:rPr>
      </w:pPr>
      <w:r>
        <w:rPr>
          <w:rFonts w:ascii="Garamond" w:hAnsi="Garamond"/>
          <w:sz w:val="22"/>
        </w:rPr>
        <w:t>Szcz</w:t>
      </w:r>
      <w:r w:rsidR="000756AE">
        <w:rPr>
          <w:rFonts w:ascii="Garamond" w:hAnsi="Garamond"/>
          <w:sz w:val="22"/>
        </w:rPr>
        <w:t xml:space="preserve">egółowych informacji udziela Wydział Geodezji Starostwa Powiatowego </w:t>
      </w:r>
      <w:r>
        <w:rPr>
          <w:rFonts w:ascii="Garamond" w:hAnsi="Garamond"/>
          <w:sz w:val="22"/>
        </w:rPr>
        <w:t xml:space="preserve">w Lęborku, pok. 117 i 118, </w:t>
      </w:r>
      <w:r w:rsidR="000756AE">
        <w:rPr>
          <w:rFonts w:ascii="Garamond" w:hAnsi="Garamond"/>
          <w:sz w:val="22"/>
        </w:rPr>
        <w:br/>
      </w:r>
      <w:r>
        <w:rPr>
          <w:rFonts w:ascii="Garamond" w:hAnsi="Garamond"/>
          <w:sz w:val="22"/>
        </w:rPr>
        <w:t>I piętro, tel. /59/ 863 28 41.</w:t>
      </w:r>
    </w:p>
    <w:p w:rsidR="0043596D" w:rsidRDefault="0043596D" w:rsidP="0043596D">
      <w:pPr>
        <w:numPr>
          <w:ilvl w:val="0"/>
          <w:numId w:val="4"/>
        </w:numPr>
        <w:tabs>
          <w:tab w:val="num" w:pos="360"/>
        </w:tabs>
        <w:spacing w:line="360" w:lineRule="auto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Zarząd Powiatu Lęborskiego zastrzega sobie prawo odwołania przetargów z ważnych powodów. Zarząd Powiatu Lęborskiego poda do publicznej wiadomości informację o odwołaniu przetargów z podaniem uzasadnionej przyczyny.</w:t>
      </w:r>
    </w:p>
    <w:p w:rsidR="0043596D" w:rsidRDefault="0043596D" w:rsidP="0043596D">
      <w:pPr>
        <w:pStyle w:val="Tytu"/>
        <w:spacing w:line="360" w:lineRule="auto"/>
        <w:ind w:left="360" w:firstLine="348"/>
        <w:rPr>
          <w:rFonts w:ascii="Garamond" w:hAnsi="Garamond"/>
          <w:i w:val="0"/>
          <w:iCs w:val="0"/>
          <w:sz w:val="22"/>
        </w:rPr>
      </w:pPr>
    </w:p>
    <w:p w:rsidR="0043596D" w:rsidRDefault="003D4752" w:rsidP="0043596D">
      <w:pPr>
        <w:pStyle w:val="Tytu"/>
        <w:spacing w:line="360" w:lineRule="auto"/>
        <w:ind w:left="360" w:firstLine="348"/>
        <w:rPr>
          <w:rFonts w:ascii="Garamond" w:hAnsi="Garamond"/>
          <w:i w:val="0"/>
          <w:iCs w:val="0"/>
          <w:sz w:val="22"/>
        </w:rPr>
      </w:pPr>
      <w:r>
        <w:rPr>
          <w:rFonts w:ascii="Garamond" w:hAnsi="Garamond"/>
          <w:i w:val="0"/>
          <w:iCs w:val="0"/>
          <w:sz w:val="22"/>
        </w:rPr>
        <w:t>Przetargi odbędą się w dniu 29 listopada</w:t>
      </w:r>
      <w:r w:rsidR="0043596D">
        <w:rPr>
          <w:rFonts w:ascii="Garamond" w:hAnsi="Garamond"/>
          <w:i w:val="0"/>
          <w:iCs w:val="0"/>
          <w:sz w:val="22"/>
        </w:rPr>
        <w:t xml:space="preserve"> 2019 roku w siedzibie Starostwa Powiatowego, </w:t>
      </w:r>
      <w:r w:rsidR="0043596D">
        <w:rPr>
          <w:rFonts w:ascii="Garamond" w:hAnsi="Garamond"/>
          <w:i w:val="0"/>
          <w:iCs w:val="0"/>
          <w:sz w:val="22"/>
        </w:rPr>
        <w:br/>
        <w:t>pok. Nr 13</w:t>
      </w:r>
    </w:p>
    <w:p w:rsidR="0043596D" w:rsidRDefault="0043596D" w:rsidP="0043596D">
      <w:pPr>
        <w:rPr>
          <w:rFonts w:ascii="Garamond" w:hAnsi="Garamond"/>
        </w:rPr>
      </w:pPr>
    </w:p>
    <w:p w:rsidR="0043596D" w:rsidRDefault="0043596D" w:rsidP="0043596D">
      <w:pPr>
        <w:rPr>
          <w:rFonts w:ascii="Garamond" w:hAnsi="Garamond"/>
        </w:rPr>
      </w:pPr>
    </w:p>
    <w:p w:rsidR="0043596D" w:rsidRDefault="0043596D" w:rsidP="0043596D">
      <w:pPr>
        <w:rPr>
          <w:rFonts w:ascii="Garamond" w:hAnsi="Garamond"/>
        </w:rPr>
      </w:pPr>
    </w:p>
    <w:p w:rsidR="0043596D" w:rsidRDefault="0043596D" w:rsidP="0043596D">
      <w:pPr>
        <w:rPr>
          <w:rFonts w:ascii="Garamond" w:hAnsi="Garamond"/>
        </w:rPr>
      </w:pPr>
    </w:p>
    <w:p w:rsidR="0043596D" w:rsidRDefault="0043596D" w:rsidP="0043596D">
      <w:pPr>
        <w:rPr>
          <w:rFonts w:ascii="Garamond" w:hAnsi="Garamond"/>
        </w:rPr>
      </w:pPr>
    </w:p>
    <w:p w:rsidR="00A24279" w:rsidRDefault="00A24279"/>
    <w:sectPr w:rsidR="00A24279" w:rsidSect="0043596D">
      <w:pgSz w:w="11906" w:h="16838"/>
      <w:pgMar w:top="851" w:right="1418" w:bottom="1418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1227"/>
    <w:multiLevelType w:val="hybridMultilevel"/>
    <w:tmpl w:val="1272F8C8"/>
    <w:lvl w:ilvl="0" w:tplc="728E29E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C963DF"/>
    <w:multiLevelType w:val="hybridMultilevel"/>
    <w:tmpl w:val="509CCF9C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72B0F"/>
    <w:multiLevelType w:val="hybridMultilevel"/>
    <w:tmpl w:val="F9909110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2CD6553"/>
    <w:multiLevelType w:val="hybridMultilevel"/>
    <w:tmpl w:val="68CA6922"/>
    <w:lvl w:ilvl="0" w:tplc="42CE4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504"/>
    <w:rsid w:val="000756AE"/>
    <w:rsid w:val="000E1C72"/>
    <w:rsid w:val="0012172C"/>
    <w:rsid w:val="001B749A"/>
    <w:rsid w:val="00355FF0"/>
    <w:rsid w:val="003D4752"/>
    <w:rsid w:val="0043596D"/>
    <w:rsid w:val="0052592C"/>
    <w:rsid w:val="005C20D7"/>
    <w:rsid w:val="00601C28"/>
    <w:rsid w:val="007D5A84"/>
    <w:rsid w:val="008851E4"/>
    <w:rsid w:val="008E50BA"/>
    <w:rsid w:val="00927504"/>
    <w:rsid w:val="00A24279"/>
    <w:rsid w:val="00D075DD"/>
    <w:rsid w:val="00F9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3596D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3596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3596D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43596D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596D"/>
    <w:pPr>
      <w:spacing w:line="360" w:lineRule="auto"/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596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51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5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92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3596D"/>
    <w:pPr>
      <w:keepNext/>
      <w:jc w:val="both"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43596D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43596D"/>
    <w:pPr>
      <w:jc w:val="center"/>
    </w:pPr>
    <w:rPr>
      <w:b/>
      <w:bCs/>
      <w:i/>
      <w:iCs/>
      <w:sz w:val="32"/>
    </w:rPr>
  </w:style>
  <w:style w:type="character" w:customStyle="1" w:styleId="TytuZnak">
    <w:name w:val="Tytuł Znak"/>
    <w:basedOn w:val="Domylnaczcionkaakapitu"/>
    <w:link w:val="Tytu"/>
    <w:rsid w:val="0043596D"/>
    <w:rPr>
      <w:rFonts w:ascii="Times New Roman" w:eastAsia="Times New Roman" w:hAnsi="Times New Roman" w:cs="Times New Roman"/>
      <w:b/>
      <w:bCs/>
      <w:i/>
      <w:iCs/>
      <w:sz w:val="32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596D"/>
    <w:pPr>
      <w:spacing w:line="360" w:lineRule="auto"/>
      <w:ind w:left="360" w:hanging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596D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8851E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8851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59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92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939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8</cp:revision>
  <cp:lastPrinted>2019-10-22T07:51:00Z</cp:lastPrinted>
  <dcterms:created xsi:type="dcterms:W3CDTF">2019-10-21T06:12:00Z</dcterms:created>
  <dcterms:modified xsi:type="dcterms:W3CDTF">2019-10-22T08:01:00Z</dcterms:modified>
</cp:coreProperties>
</file>