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Nr 382/47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1126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131 000</w:t>
            </w:r>
          </w:p>
        </w:tc>
        <w:tc>
          <w:tcPr>
            <w:tcW w:w="2220" w:type="dxa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13.000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bookmarkStart w:id="0" w:name="_GoBack"/>
      <w:bookmarkEnd w:id="0"/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2 osoby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osiągnięto cenę w wysokości 132.310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BC3071">
        <w:rPr>
          <w:rFonts w:ascii="Garamond" w:eastAsia="Times New Roman" w:hAnsi="Garamond" w:cs="Times New Roman"/>
          <w:lang w:eastAsia="pl-PL"/>
        </w:rPr>
        <w:t xml:space="preserve"> (słownie: sto trzydzieści dwa tysiące trzysta dziesięć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</w:t>
      </w:r>
      <w:r w:rsidR="00300340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t xml:space="preserve">w wysokości 23% </w:t>
      </w:r>
      <w:r w:rsidR="00300340">
        <w:rPr>
          <w:rFonts w:ascii="Garamond" w:eastAsia="Times New Roman" w:hAnsi="Garamond" w:cs="Times New Roman"/>
          <w:lang w:eastAsia="pl-PL"/>
        </w:rPr>
        <w:t>stanowi kwotę 162.741,30 zł. (słownie: sto sześćdziesiąt dwa tysiące siedemset czterdzieści jeden</w:t>
      </w:r>
      <w:r w:rsidR="00E064D1">
        <w:rPr>
          <w:rFonts w:ascii="Garamond" w:eastAsia="Times New Roman" w:hAnsi="Garamond" w:cs="Times New Roman"/>
          <w:lang w:eastAsia="pl-PL"/>
        </w:rPr>
        <w:t xml:space="preserve"> złotych</w:t>
      </w:r>
      <w:r w:rsidR="00300340">
        <w:rPr>
          <w:rFonts w:ascii="Garamond" w:eastAsia="Times New Roman" w:hAnsi="Garamond" w:cs="Times New Roman"/>
          <w:lang w:eastAsia="pl-PL"/>
        </w:rPr>
        <w:t xml:space="preserve"> 3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300340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zaproponowali i przetarg wygrali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300340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HALINA I MAREK WARMOWSCY</w:t>
      </w: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F237F"/>
    <w:rsid w:val="00300340"/>
    <w:rsid w:val="003A7438"/>
    <w:rsid w:val="006369B4"/>
    <w:rsid w:val="007362FB"/>
    <w:rsid w:val="00894A7D"/>
    <w:rsid w:val="00967C45"/>
    <w:rsid w:val="00975B64"/>
    <w:rsid w:val="00BC3071"/>
    <w:rsid w:val="00C34481"/>
    <w:rsid w:val="00D33DF9"/>
    <w:rsid w:val="00E064D1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14</cp:revision>
  <cp:lastPrinted>2021-11-08T13:36:00Z</cp:lastPrinted>
  <dcterms:created xsi:type="dcterms:W3CDTF">2021-08-30T09:18:00Z</dcterms:created>
  <dcterms:modified xsi:type="dcterms:W3CDTF">2022-06-17T06:01:00Z</dcterms:modified>
</cp:coreProperties>
</file>