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2A" w:rsidRDefault="00A60D2A" w:rsidP="00A60D2A">
      <w:pPr>
        <w:spacing w:line="276" w:lineRule="auto"/>
        <w:rPr>
          <w:b/>
          <w:bCs/>
          <w:iCs/>
          <w:color w:val="FF0000"/>
          <w:spacing w:val="40"/>
        </w:rPr>
      </w:pPr>
      <w:r w:rsidRPr="00A60D2A">
        <w:rPr>
          <w:b/>
          <w:bCs/>
          <w:iCs/>
          <w:color w:val="FF0000"/>
          <w:spacing w:val="40"/>
        </w:rPr>
        <w:t>STAROSTA LĘBORSKI</w:t>
      </w:r>
    </w:p>
    <w:p w:rsidR="00A60D2A" w:rsidRDefault="00A60D2A" w:rsidP="00A60D2A">
      <w:pPr>
        <w:spacing w:line="276" w:lineRule="auto"/>
        <w:rPr>
          <w:b/>
          <w:bCs/>
          <w:iCs/>
          <w:spacing w:val="40"/>
          <w:sz w:val="20"/>
          <w:szCs w:val="20"/>
        </w:rPr>
      </w:pPr>
      <w:r w:rsidRPr="00A60D2A">
        <w:rPr>
          <w:b/>
          <w:bCs/>
          <w:iCs/>
          <w:spacing w:val="40"/>
          <w:sz w:val="20"/>
          <w:szCs w:val="20"/>
        </w:rPr>
        <w:t>G.6840.1.7-12.2023.SP.KM</w:t>
      </w:r>
    </w:p>
    <w:p w:rsidR="00A60D2A" w:rsidRDefault="00A60D2A" w:rsidP="00A60D2A">
      <w:pPr>
        <w:spacing w:line="276" w:lineRule="auto"/>
        <w:rPr>
          <w:b/>
          <w:bCs/>
          <w:iCs/>
          <w:spacing w:val="40"/>
          <w:sz w:val="20"/>
          <w:szCs w:val="20"/>
        </w:rPr>
      </w:pPr>
    </w:p>
    <w:p w:rsidR="00BF43C7" w:rsidRDefault="00043043" w:rsidP="00A04156">
      <w:pPr>
        <w:spacing w:line="276" w:lineRule="auto"/>
        <w:jc w:val="center"/>
        <w:rPr>
          <w:b/>
          <w:bCs/>
          <w:iCs/>
          <w:spacing w:val="40"/>
        </w:rPr>
      </w:pPr>
      <w:r>
        <w:rPr>
          <w:b/>
          <w:bCs/>
          <w:iCs/>
          <w:spacing w:val="40"/>
        </w:rPr>
        <w:t xml:space="preserve">OGŁOSZENIE </w:t>
      </w:r>
      <w:r w:rsidR="00BF43C7">
        <w:rPr>
          <w:b/>
          <w:bCs/>
          <w:iCs/>
          <w:spacing w:val="40"/>
        </w:rPr>
        <w:t xml:space="preserve">z dnia </w:t>
      </w:r>
      <w:r w:rsidR="00A60D2A">
        <w:rPr>
          <w:b/>
          <w:bCs/>
          <w:iCs/>
          <w:spacing w:val="40"/>
        </w:rPr>
        <w:t>7 czerwca 2024 r.</w:t>
      </w:r>
    </w:p>
    <w:p w:rsidR="00BF43C7" w:rsidRPr="00BF43C7" w:rsidRDefault="00BF43C7" w:rsidP="00A04156">
      <w:pPr>
        <w:spacing w:line="276" w:lineRule="auto"/>
        <w:jc w:val="center"/>
        <w:rPr>
          <w:bCs/>
          <w:iCs/>
          <w:spacing w:val="40"/>
          <w:sz w:val="20"/>
          <w:szCs w:val="20"/>
        </w:rPr>
      </w:pPr>
    </w:p>
    <w:p w:rsidR="0024426A" w:rsidRDefault="007D7F0B" w:rsidP="00A04156">
      <w:pPr>
        <w:spacing w:line="276" w:lineRule="auto"/>
        <w:jc w:val="center"/>
        <w:rPr>
          <w:b/>
          <w:bCs/>
          <w:iCs/>
          <w:spacing w:val="40"/>
        </w:rPr>
      </w:pPr>
      <w:r>
        <w:rPr>
          <w:b/>
          <w:bCs/>
          <w:iCs/>
          <w:spacing w:val="40"/>
        </w:rPr>
        <w:t>Starosta</w:t>
      </w:r>
      <w:r w:rsidR="00CA28D1">
        <w:rPr>
          <w:b/>
          <w:bCs/>
          <w:iCs/>
          <w:spacing w:val="40"/>
        </w:rPr>
        <w:t xml:space="preserve"> Lęborski</w:t>
      </w:r>
    </w:p>
    <w:p w:rsidR="009E54E3" w:rsidRDefault="0024426A" w:rsidP="00A04156">
      <w:pPr>
        <w:spacing w:line="276" w:lineRule="auto"/>
        <w:jc w:val="center"/>
        <w:rPr>
          <w:b/>
          <w:bCs/>
          <w:iCs/>
          <w:spacing w:val="40"/>
        </w:rPr>
      </w:pPr>
      <w:r>
        <w:rPr>
          <w:b/>
          <w:bCs/>
          <w:iCs/>
          <w:spacing w:val="40"/>
        </w:rPr>
        <w:t>wykonując</w:t>
      </w:r>
      <w:r w:rsidR="007D7F0B">
        <w:rPr>
          <w:b/>
          <w:bCs/>
          <w:iCs/>
          <w:spacing w:val="40"/>
        </w:rPr>
        <w:t>y</w:t>
      </w:r>
      <w:r>
        <w:rPr>
          <w:b/>
          <w:bCs/>
          <w:iCs/>
          <w:spacing w:val="40"/>
        </w:rPr>
        <w:t xml:space="preserve"> zadania z zakresu administracji rządowej</w:t>
      </w:r>
    </w:p>
    <w:p w:rsidR="009E54E3" w:rsidRDefault="0024426A" w:rsidP="00A04156">
      <w:pPr>
        <w:spacing w:line="276" w:lineRule="auto"/>
        <w:jc w:val="center"/>
        <w:rPr>
          <w:b/>
          <w:bCs/>
          <w:iCs/>
          <w:spacing w:val="40"/>
        </w:rPr>
      </w:pPr>
      <w:r>
        <w:rPr>
          <w:b/>
          <w:bCs/>
          <w:iCs/>
          <w:spacing w:val="40"/>
        </w:rPr>
        <w:t xml:space="preserve">z siedzibą przy </w:t>
      </w:r>
      <w:r w:rsidR="009E54E3">
        <w:rPr>
          <w:b/>
          <w:bCs/>
          <w:iCs/>
          <w:spacing w:val="40"/>
        </w:rPr>
        <w:t>ul. Czołgistów 5</w:t>
      </w:r>
      <w:r>
        <w:rPr>
          <w:b/>
          <w:bCs/>
          <w:iCs/>
          <w:spacing w:val="40"/>
        </w:rPr>
        <w:t>, 84-300 Lębork</w:t>
      </w:r>
    </w:p>
    <w:p w:rsidR="009E54E3" w:rsidRDefault="007D7F0B" w:rsidP="00A04156">
      <w:pPr>
        <w:spacing w:line="276" w:lineRule="auto"/>
        <w:jc w:val="center"/>
        <w:rPr>
          <w:b/>
          <w:bCs/>
          <w:iCs/>
          <w:spacing w:val="40"/>
        </w:rPr>
      </w:pPr>
      <w:r>
        <w:rPr>
          <w:b/>
          <w:bCs/>
          <w:iCs/>
          <w:spacing w:val="40"/>
        </w:rPr>
        <w:t>ogłasza I ustny prze</w:t>
      </w:r>
      <w:r w:rsidR="001C3288">
        <w:rPr>
          <w:b/>
          <w:bCs/>
          <w:iCs/>
          <w:spacing w:val="40"/>
        </w:rPr>
        <w:t>targ nieograniczony na sprzedaż nieruchomości gruntowych</w:t>
      </w:r>
    </w:p>
    <w:p w:rsidR="009E54E3" w:rsidRDefault="009E54E3" w:rsidP="009E54E3">
      <w:pPr>
        <w:pStyle w:val="Tekstpodstawowy"/>
        <w:spacing w:line="360" w:lineRule="auto"/>
        <w:rPr>
          <w:b/>
          <w:bCs/>
          <w:iCs/>
          <w:sz w:val="10"/>
        </w:rPr>
      </w:pPr>
    </w:p>
    <w:p w:rsidR="009E54E3" w:rsidRPr="0028658D" w:rsidRDefault="009E54E3" w:rsidP="00175F76">
      <w:pPr>
        <w:pStyle w:val="Tekstpodstawowy2"/>
        <w:rPr>
          <w:iCs/>
          <w:spacing w:val="32"/>
          <w:sz w:val="24"/>
          <w:u w:val="single"/>
        </w:rPr>
      </w:pPr>
    </w:p>
    <w:p w:rsidR="00175F76" w:rsidRDefault="009E54E3" w:rsidP="001B5DFD">
      <w:pPr>
        <w:pStyle w:val="Tekstpodstawowy2"/>
        <w:ind w:firstLine="708"/>
        <w:rPr>
          <w:sz w:val="24"/>
        </w:rPr>
      </w:pPr>
      <w:r w:rsidRPr="00BF43C7">
        <w:rPr>
          <w:sz w:val="24"/>
        </w:rPr>
        <w:t xml:space="preserve">Działając na podstawie art. </w:t>
      </w:r>
      <w:r w:rsidR="007D7F0B" w:rsidRPr="00BF43C7">
        <w:rPr>
          <w:sz w:val="24"/>
        </w:rPr>
        <w:t>11</w:t>
      </w:r>
      <w:r w:rsidRPr="00BF43C7">
        <w:rPr>
          <w:sz w:val="24"/>
        </w:rPr>
        <w:t xml:space="preserve"> </w:t>
      </w:r>
      <w:r w:rsidR="007D7F0B" w:rsidRPr="00BF43C7">
        <w:rPr>
          <w:sz w:val="24"/>
        </w:rPr>
        <w:t xml:space="preserve">ust. 1, art. 38 i art. 40 ust. 1 pkt 1 </w:t>
      </w:r>
      <w:r w:rsidRPr="00BF43C7">
        <w:rPr>
          <w:sz w:val="24"/>
        </w:rPr>
        <w:t>ustawy z dnia 21 sierpnia 1997 roku o gospodarce nieruchomościa</w:t>
      </w:r>
      <w:r w:rsidR="00105F22" w:rsidRPr="00BF43C7">
        <w:rPr>
          <w:sz w:val="24"/>
        </w:rPr>
        <w:t xml:space="preserve">mi </w:t>
      </w:r>
      <w:r w:rsidR="00FB2E6C">
        <w:rPr>
          <w:sz w:val="24"/>
        </w:rPr>
        <w:br/>
      </w:r>
      <w:r w:rsidR="00105F22" w:rsidRPr="00BF43C7">
        <w:rPr>
          <w:sz w:val="24"/>
        </w:rPr>
        <w:t>(t</w:t>
      </w:r>
      <w:r w:rsidR="00FB2E6C">
        <w:rPr>
          <w:sz w:val="24"/>
        </w:rPr>
        <w:t xml:space="preserve">.j. </w:t>
      </w:r>
      <w:r w:rsidR="00105F22" w:rsidRPr="00BF43C7">
        <w:rPr>
          <w:sz w:val="24"/>
        </w:rPr>
        <w:t>Dz.</w:t>
      </w:r>
      <w:r w:rsidR="0024426A" w:rsidRPr="00BF43C7">
        <w:rPr>
          <w:sz w:val="24"/>
        </w:rPr>
        <w:t xml:space="preserve"> </w:t>
      </w:r>
      <w:r w:rsidR="00A60D2A">
        <w:rPr>
          <w:sz w:val="24"/>
        </w:rPr>
        <w:t>U. z 2023 r. poz. 344</w:t>
      </w:r>
      <w:r w:rsidR="0024426A" w:rsidRPr="00BF43C7">
        <w:rPr>
          <w:sz w:val="24"/>
        </w:rPr>
        <w:t xml:space="preserve"> ze zm.),</w:t>
      </w:r>
      <w:r w:rsidR="007D7F0B" w:rsidRPr="00BF43C7">
        <w:rPr>
          <w:sz w:val="24"/>
        </w:rPr>
        <w:t xml:space="preserve"> § 13 Rozporządzenia Rady Ministrów </w:t>
      </w:r>
      <w:r w:rsidR="00BF43C7" w:rsidRPr="00BF43C7">
        <w:rPr>
          <w:sz w:val="24"/>
        </w:rPr>
        <w:t xml:space="preserve">w sprawie sposobu i trybu przeprowadzania przetargów oraz rokowań </w:t>
      </w:r>
      <w:r w:rsidR="00FB2E6C">
        <w:rPr>
          <w:sz w:val="24"/>
        </w:rPr>
        <w:br/>
      </w:r>
      <w:r w:rsidR="00BF43C7" w:rsidRPr="00BF43C7">
        <w:rPr>
          <w:sz w:val="24"/>
        </w:rPr>
        <w:t>na zby</w:t>
      </w:r>
      <w:r w:rsidR="00175F76">
        <w:rPr>
          <w:sz w:val="24"/>
        </w:rPr>
        <w:t>cie nieruchomości (Dz. U. z 2021 r. poz. 2213</w:t>
      </w:r>
      <w:r w:rsidR="00BF43C7" w:rsidRPr="00BF43C7">
        <w:rPr>
          <w:sz w:val="24"/>
        </w:rPr>
        <w:t>)</w:t>
      </w:r>
      <w:r w:rsidR="00BF43C7">
        <w:rPr>
          <w:sz w:val="24"/>
        </w:rPr>
        <w:t>,</w:t>
      </w:r>
      <w:r w:rsidR="007D7F0B" w:rsidRPr="00BF43C7">
        <w:rPr>
          <w:sz w:val="24"/>
        </w:rPr>
        <w:t xml:space="preserve"> </w:t>
      </w:r>
      <w:r w:rsidR="0024426A" w:rsidRPr="00BF43C7">
        <w:rPr>
          <w:sz w:val="24"/>
        </w:rPr>
        <w:t xml:space="preserve">w oparciu o </w:t>
      </w:r>
      <w:r w:rsidR="00175F76">
        <w:rPr>
          <w:sz w:val="24"/>
        </w:rPr>
        <w:t>:</w:t>
      </w:r>
    </w:p>
    <w:p w:rsidR="00175F76" w:rsidRDefault="00175F76" w:rsidP="001B5DFD">
      <w:pPr>
        <w:pStyle w:val="Akapitzlist"/>
        <w:numPr>
          <w:ilvl w:val="0"/>
          <w:numId w:val="7"/>
        </w:numPr>
      </w:pPr>
      <w:r w:rsidRPr="00175F76">
        <w:t>Zarządzeni</w:t>
      </w:r>
      <w:r w:rsidR="00D63350">
        <w:t>e</w:t>
      </w:r>
      <w:r>
        <w:t xml:space="preserve"> Wojewody Pomorskiego z dnia 13 grudnia 2023 r. „w sprawie nr NSP-II.</w:t>
      </w:r>
      <w:r w:rsidR="002A31AC">
        <w:t>7582.1.209</w:t>
      </w:r>
      <w:r w:rsidR="001B5DFD">
        <w:t>.</w:t>
      </w:r>
      <w:r>
        <w:t>2023.</w:t>
      </w:r>
      <w:r w:rsidR="001B5DFD">
        <w:t>JM</w:t>
      </w:r>
      <w:r w:rsidRPr="00175F76">
        <w:t xml:space="preserve"> dotyczącej zgody na sprzedaż </w:t>
      </w:r>
      <w:r w:rsidR="00FB2E6C">
        <w:br/>
      </w:r>
      <w:r w:rsidRPr="00175F76">
        <w:t>w drodze przetargu nieruchomości Skarbu Państwa”,</w:t>
      </w:r>
    </w:p>
    <w:p w:rsidR="002A31AC" w:rsidRPr="00175F76" w:rsidRDefault="002A31AC" w:rsidP="002A31AC">
      <w:pPr>
        <w:pStyle w:val="Akapitzlist"/>
        <w:numPr>
          <w:ilvl w:val="0"/>
          <w:numId w:val="7"/>
        </w:numPr>
      </w:pPr>
      <w:r w:rsidRPr="00175F76">
        <w:t>Zarządzeni</w:t>
      </w:r>
      <w:r>
        <w:t>e Wojewody Pomorskiego z dnia 13 grudnia 2023 r. „w sprawie nr NSP-II.7582.1.210.2023.JM</w:t>
      </w:r>
      <w:r w:rsidRPr="00175F76">
        <w:t xml:space="preserve"> dotyczącej zgody na sprzedaż </w:t>
      </w:r>
      <w:r w:rsidR="00FB2E6C">
        <w:br/>
      </w:r>
      <w:r w:rsidRPr="00175F76">
        <w:t>w drodze przetargu nieruchomości Skarbu Państwa”,</w:t>
      </w:r>
    </w:p>
    <w:p w:rsidR="009E54E3" w:rsidRDefault="0024426A" w:rsidP="001B5DFD">
      <w:pPr>
        <w:pStyle w:val="Akapitzlist"/>
        <w:numPr>
          <w:ilvl w:val="0"/>
          <w:numId w:val="7"/>
        </w:numPr>
      </w:pPr>
      <w:r w:rsidRPr="00175F76">
        <w:t>Zarządzeni</w:t>
      </w:r>
      <w:r w:rsidR="00175F76">
        <w:t>e Wojewody Pomorskiego z dnia 12 kwietnia 2024 r. „w sprawie nr NSP-II.7582.1.187.2023.ES</w:t>
      </w:r>
      <w:r w:rsidRPr="00175F76">
        <w:t xml:space="preserve"> dotyczącej zgody na sprzedaż </w:t>
      </w:r>
      <w:r w:rsidR="00FB2E6C">
        <w:br/>
      </w:r>
      <w:r w:rsidRPr="00175F76">
        <w:t>w drodze przetargu nieruchomości Skarbu Państwa”</w:t>
      </w:r>
      <w:r w:rsidR="00B969C5" w:rsidRPr="00175F76">
        <w:t>,</w:t>
      </w:r>
    </w:p>
    <w:p w:rsidR="001B5DFD" w:rsidRDefault="001B5DFD" w:rsidP="001B5DFD">
      <w:pPr>
        <w:pStyle w:val="Akapitzlist"/>
        <w:numPr>
          <w:ilvl w:val="0"/>
          <w:numId w:val="7"/>
        </w:numPr>
      </w:pPr>
      <w:r w:rsidRPr="00175F76">
        <w:t>Zarządzeni</w:t>
      </w:r>
      <w:r>
        <w:t xml:space="preserve">e Wojewody Pomorskiego z dnia 13 grudnia 2023 r. „w </w:t>
      </w:r>
      <w:r w:rsidR="002A31AC">
        <w:t>sprawie nr NSP-II.7582.1.188</w:t>
      </w:r>
      <w:r>
        <w:t>.2023.ES</w:t>
      </w:r>
      <w:r w:rsidRPr="00175F76">
        <w:t xml:space="preserve"> dotyczącej zgody na sprzedaż </w:t>
      </w:r>
      <w:r w:rsidR="00FB2E6C">
        <w:br/>
      </w:r>
      <w:r w:rsidRPr="00175F76">
        <w:t>w drodze przetargu nieruchomości Skarbu Państwa”,</w:t>
      </w:r>
    </w:p>
    <w:p w:rsidR="002A31AC" w:rsidRDefault="002A31AC" w:rsidP="002A31AC">
      <w:pPr>
        <w:pStyle w:val="Akapitzlist"/>
        <w:numPr>
          <w:ilvl w:val="0"/>
          <w:numId w:val="7"/>
        </w:numPr>
      </w:pPr>
      <w:r w:rsidRPr="00175F76">
        <w:t>Zarządzeni</w:t>
      </w:r>
      <w:r>
        <w:t>e Wojewody Pomorskiego z dnia 13 grudnia 2023 r. „w sprawie nr NSP-II.7582.1.208.2023.ES</w:t>
      </w:r>
      <w:r w:rsidRPr="00175F76">
        <w:t xml:space="preserve"> dotyczącej zgody na sprzedaż </w:t>
      </w:r>
      <w:r w:rsidR="00FB2E6C">
        <w:br/>
      </w:r>
      <w:r w:rsidRPr="00175F76">
        <w:t>w drodze przetargu nieruchomości Skarbu Państwa”,</w:t>
      </w:r>
    </w:p>
    <w:p w:rsidR="001B5DFD" w:rsidRDefault="001B5DFD" w:rsidP="001B5DFD">
      <w:pPr>
        <w:pStyle w:val="Akapitzlist"/>
        <w:numPr>
          <w:ilvl w:val="0"/>
          <w:numId w:val="7"/>
        </w:numPr>
      </w:pPr>
      <w:r w:rsidRPr="00175F76">
        <w:t>Zarządzeni</w:t>
      </w:r>
      <w:r>
        <w:t>e Wojewody Pomorskiego z dnia 13 grudnia 2023 r. „w sprawie nr NSP-II.7582.1.207.2023.KS</w:t>
      </w:r>
      <w:r w:rsidRPr="00175F76">
        <w:t xml:space="preserve"> dotyczącej zgody na sprzedaż </w:t>
      </w:r>
      <w:r w:rsidR="00FB2E6C">
        <w:br/>
      </w:r>
      <w:r w:rsidRPr="00175F76">
        <w:t>w drodze przetargu nieruchomości Skarbu Państwa”,</w:t>
      </w:r>
    </w:p>
    <w:p w:rsidR="001B5DFD" w:rsidRDefault="001B5DFD" w:rsidP="001B5DFD">
      <w:pPr>
        <w:pStyle w:val="Akapitzlist"/>
      </w:pPr>
    </w:p>
    <w:p w:rsidR="009E54E3" w:rsidRDefault="00BF43C7" w:rsidP="001B5DFD">
      <w:pPr>
        <w:jc w:val="center"/>
        <w:rPr>
          <w:b/>
          <w:bCs/>
          <w:iCs/>
          <w:spacing w:val="40"/>
        </w:rPr>
      </w:pPr>
      <w:r>
        <w:rPr>
          <w:b/>
          <w:bCs/>
          <w:iCs/>
          <w:spacing w:val="40"/>
        </w:rPr>
        <w:t xml:space="preserve">Starosta Lęborski </w:t>
      </w:r>
      <w:r w:rsidR="009E54E3">
        <w:rPr>
          <w:b/>
          <w:bCs/>
          <w:iCs/>
          <w:spacing w:val="40"/>
        </w:rPr>
        <w:t>ogłasza</w:t>
      </w:r>
      <w:r>
        <w:rPr>
          <w:b/>
          <w:bCs/>
          <w:iCs/>
          <w:spacing w:val="40"/>
        </w:rPr>
        <w:t>:</w:t>
      </w:r>
    </w:p>
    <w:p w:rsidR="00626AD8" w:rsidRPr="00626AD8" w:rsidRDefault="00626AD8" w:rsidP="001B5DFD">
      <w:pPr>
        <w:jc w:val="both"/>
        <w:rPr>
          <w:bCs/>
          <w:iCs/>
          <w:spacing w:val="40"/>
        </w:rPr>
      </w:pPr>
    </w:p>
    <w:p w:rsidR="00B26C41" w:rsidRDefault="00BF43C7" w:rsidP="001B5DFD">
      <w:pPr>
        <w:pStyle w:val="Tekstpodstawowywcity2"/>
        <w:numPr>
          <w:ilvl w:val="0"/>
          <w:numId w:val="6"/>
        </w:numPr>
        <w:tabs>
          <w:tab w:val="num" w:pos="284"/>
        </w:tabs>
        <w:spacing w:after="240"/>
        <w:ind w:left="284" w:hanging="284"/>
      </w:pPr>
      <w:r w:rsidRPr="000F31DF">
        <w:t>Pierwszy ustny przetarg nieograniczony na sprzedaż</w:t>
      </w:r>
      <w:r w:rsidR="009E54E3" w:rsidRPr="000F31DF">
        <w:t xml:space="preserve"> </w:t>
      </w:r>
      <w:r w:rsidR="00B26C41">
        <w:t>nieruchomości gruntowych:</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276"/>
        <w:gridCol w:w="992"/>
        <w:gridCol w:w="1134"/>
        <w:gridCol w:w="1701"/>
        <w:gridCol w:w="1843"/>
        <w:gridCol w:w="4678"/>
        <w:gridCol w:w="992"/>
        <w:gridCol w:w="1559"/>
      </w:tblGrid>
      <w:tr w:rsidR="001C3288" w:rsidRPr="00FD7213" w:rsidTr="00BE2B68">
        <w:tc>
          <w:tcPr>
            <w:tcW w:w="568" w:type="dxa"/>
            <w:shd w:val="clear" w:color="auto" w:fill="D9D9D9" w:themeFill="background1" w:themeFillShade="D9"/>
            <w:vAlign w:val="center"/>
          </w:tcPr>
          <w:p w:rsidR="001C3288" w:rsidRPr="00CF3D7F" w:rsidRDefault="001C3288" w:rsidP="00BD6C2D">
            <w:pPr>
              <w:jc w:val="center"/>
              <w:rPr>
                <w:b/>
                <w:sz w:val="20"/>
                <w:szCs w:val="20"/>
              </w:rPr>
            </w:pPr>
            <w:r w:rsidRPr="00CF3D7F">
              <w:rPr>
                <w:b/>
                <w:sz w:val="20"/>
                <w:szCs w:val="20"/>
              </w:rPr>
              <w:t>Lp.</w:t>
            </w:r>
          </w:p>
        </w:tc>
        <w:tc>
          <w:tcPr>
            <w:tcW w:w="567" w:type="dxa"/>
            <w:shd w:val="clear" w:color="auto" w:fill="D9D9D9" w:themeFill="background1" w:themeFillShade="D9"/>
            <w:vAlign w:val="center"/>
          </w:tcPr>
          <w:p w:rsidR="001C3288" w:rsidRPr="00E329E7" w:rsidRDefault="001C3288" w:rsidP="00BD6C2D">
            <w:pPr>
              <w:jc w:val="center"/>
              <w:rPr>
                <w:b/>
                <w:sz w:val="20"/>
                <w:szCs w:val="20"/>
              </w:rPr>
            </w:pPr>
            <w:r w:rsidRPr="00E329E7">
              <w:rPr>
                <w:b/>
                <w:sz w:val="20"/>
                <w:szCs w:val="20"/>
              </w:rPr>
              <w:t>Nr działki</w:t>
            </w:r>
          </w:p>
        </w:tc>
        <w:tc>
          <w:tcPr>
            <w:tcW w:w="1276" w:type="dxa"/>
            <w:shd w:val="clear" w:color="auto" w:fill="D9D9D9" w:themeFill="background1" w:themeFillShade="D9"/>
            <w:vAlign w:val="center"/>
          </w:tcPr>
          <w:p w:rsidR="001C3288" w:rsidRPr="00E329E7" w:rsidRDefault="001C3288" w:rsidP="00BD6C2D">
            <w:pPr>
              <w:jc w:val="center"/>
              <w:rPr>
                <w:b/>
                <w:sz w:val="20"/>
                <w:szCs w:val="20"/>
              </w:rPr>
            </w:pPr>
            <w:r w:rsidRPr="00E329E7">
              <w:rPr>
                <w:b/>
                <w:sz w:val="20"/>
                <w:szCs w:val="20"/>
              </w:rPr>
              <w:t>Obręb</w:t>
            </w:r>
          </w:p>
        </w:tc>
        <w:tc>
          <w:tcPr>
            <w:tcW w:w="992" w:type="dxa"/>
            <w:shd w:val="clear" w:color="auto" w:fill="D9D9D9" w:themeFill="background1" w:themeFillShade="D9"/>
          </w:tcPr>
          <w:p w:rsidR="001C3288" w:rsidRPr="00E329E7" w:rsidRDefault="001C3288" w:rsidP="00BD6C2D">
            <w:pPr>
              <w:jc w:val="both"/>
              <w:rPr>
                <w:b/>
                <w:sz w:val="20"/>
                <w:szCs w:val="20"/>
              </w:rPr>
            </w:pPr>
          </w:p>
          <w:p w:rsidR="001C3288" w:rsidRDefault="001C3288" w:rsidP="00BD6C2D">
            <w:pPr>
              <w:jc w:val="both"/>
              <w:rPr>
                <w:b/>
                <w:sz w:val="20"/>
                <w:szCs w:val="20"/>
              </w:rPr>
            </w:pPr>
          </w:p>
          <w:p w:rsidR="001C3288" w:rsidRPr="00233F88" w:rsidRDefault="001C3288" w:rsidP="00BD6C2D">
            <w:pPr>
              <w:jc w:val="center"/>
              <w:rPr>
                <w:b/>
                <w:sz w:val="20"/>
                <w:szCs w:val="20"/>
              </w:rPr>
            </w:pPr>
            <w:r w:rsidRPr="00233F88">
              <w:rPr>
                <w:b/>
                <w:sz w:val="20"/>
                <w:szCs w:val="20"/>
              </w:rPr>
              <w:t>Gmina</w:t>
            </w:r>
          </w:p>
        </w:tc>
        <w:tc>
          <w:tcPr>
            <w:tcW w:w="1134" w:type="dxa"/>
            <w:shd w:val="clear" w:color="auto" w:fill="D9D9D9" w:themeFill="background1" w:themeFillShade="D9"/>
          </w:tcPr>
          <w:p w:rsidR="001C3288" w:rsidRDefault="001C3288" w:rsidP="00BD6C2D">
            <w:pPr>
              <w:jc w:val="both"/>
              <w:rPr>
                <w:b/>
                <w:sz w:val="20"/>
                <w:szCs w:val="20"/>
              </w:rPr>
            </w:pPr>
          </w:p>
          <w:p w:rsidR="001C3288" w:rsidRPr="00E329E7" w:rsidRDefault="001C3288" w:rsidP="00BD6C2D">
            <w:pPr>
              <w:jc w:val="both"/>
              <w:rPr>
                <w:b/>
                <w:sz w:val="20"/>
                <w:szCs w:val="20"/>
              </w:rPr>
            </w:pPr>
            <w:r w:rsidRPr="00E329E7">
              <w:rPr>
                <w:b/>
                <w:sz w:val="20"/>
                <w:szCs w:val="20"/>
              </w:rPr>
              <w:t>Powierzchnia działki w ha</w:t>
            </w:r>
          </w:p>
        </w:tc>
        <w:tc>
          <w:tcPr>
            <w:tcW w:w="1701" w:type="dxa"/>
            <w:shd w:val="clear" w:color="auto" w:fill="D9D9D9" w:themeFill="background1" w:themeFillShade="D9"/>
          </w:tcPr>
          <w:p w:rsidR="001C3288" w:rsidRDefault="001C3288" w:rsidP="00BD6C2D">
            <w:pPr>
              <w:jc w:val="center"/>
              <w:rPr>
                <w:b/>
                <w:sz w:val="32"/>
                <w:szCs w:val="32"/>
                <w:vertAlign w:val="superscript"/>
              </w:rPr>
            </w:pPr>
          </w:p>
          <w:p w:rsidR="001C3288" w:rsidRPr="00233F88" w:rsidRDefault="001C3288" w:rsidP="00BD6C2D">
            <w:pPr>
              <w:jc w:val="center"/>
              <w:rPr>
                <w:b/>
                <w:sz w:val="32"/>
                <w:szCs w:val="32"/>
                <w:vertAlign w:val="superscript"/>
              </w:rPr>
            </w:pPr>
            <w:r w:rsidRPr="00233F88">
              <w:rPr>
                <w:b/>
                <w:sz w:val="32"/>
                <w:szCs w:val="32"/>
                <w:vertAlign w:val="superscript"/>
              </w:rPr>
              <w:t>Numer Księgi Wieczystej</w:t>
            </w:r>
          </w:p>
        </w:tc>
        <w:tc>
          <w:tcPr>
            <w:tcW w:w="1843" w:type="dxa"/>
            <w:shd w:val="clear" w:color="auto" w:fill="D9D9D9" w:themeFill="background1" w:themeFillShade="D9"/>
            <w:vAlign w:val="center"/>
          </w:tcPr>
          <w:p w:rsidR="001C3288" w:rsidRPr="001C3288" w:rsidRDefault="001C3288" w:rsidP="00BD6C2D">
            <w:pPr>
              <w:jc w:val="center"/>
              <w:rPr>
                <w:b/>
                <w:sz w:val="20"/>
                <w:szCs w:val="20"/>
              </w:rPr>
            </w:pPr>
            <w:r w:rsidRPr="001C3288">
              <w:rPr>
                <w:b/>
                <w:sz w:val="20"/>
                <w:szCs w:val="20"/>
              </w:rPr>
              <w:t>Cena wywoławcza nieruchomości</w:t>
            </w:r>
          </w:p>
          <w:p w:rsidR="001C3288" w:rsidRPr="00E329E7" w:rsidRDefault="001C3288" w:rsidP="00BD6C2D">
            <w:pPr>
              <w:jc w:val="center"/>
              <w:rPr>
                <w:b/>
                <w:sz w:val="20"/>
                <w:szCs w:val="20"/>
                <w:vertAlign w:val="superscript"/>
              </w:rPr>
            </w:pPr>
            <w:r w:rsidRPr="001C3288">
              <w:rPr>
                <w:b/>
                <w:sz w:val="20"/>
                <w:szCs w:val="20"/>
              </w:rPr>
              <w:t>[w zł] netto</w:t>
            </w:r>
            <w:r>
              <w:rPr>
                <w:b/>
                <w:color w:val="FF0000"/>
                <w:sz w:val="20"/>
                <w:szCs w:val="20"/>
                <w:vertAlign w:val="superscript"/>
              </w:rPr>
              <w:t xml:space="preserve"> </w:t>
            </w:r>
          </w:p>
        </w:tc>
        <w:tc>
          <w:tcPr>
            <w:tcW w:w="4678" w:type="dxa"/>
            <w:shd w:val="clear" w:color="auto" w:fill="D9D9D9" w:themeFill="background1" w:themeFillShade="D9"/>
          </w:tcPr>
          <w:p w:rsidR="001C3288" w:rsidRDefault="001C3288" w:rsidP="00BD6C2D">
            <w:pPr>
              <w:jc w:val="center"/>
              <w:rPr>
                <w:b/>
                <w:sz w:val="20"/>
                <w:szCs w:val="20"/>
              </w:rPr>
            </w:pPr>
          </w:p>
          <w:p w:rsidR="001C3288" w:rsidRPr="00E329E7" w:rsidRDefault="001C3288" w:rsidP="00BD6C2D">
            <w:pPr>
              <w:jc w:val="center"/>
              <w:rPr>
                <w:b/>
                <w:sz w:val="20"/>
                <w:szCs w:val="20"/>
              </w:rPr>
            </w:pPr>
            <w:r w:rsidRPr="00606978">
              <w:rPr>
                <w:b/>
                <w:sz w:val="20"/>
                <w:szCs w:val="20"/>
              </w:rPr>
              <w:t>Opis i przeznaczenie planistyczne nieruchomości</w:t>
            </w:r>
          </w:p>
        </w:tc>
        <w:tc>
          <w:tcPr>
            <w:tcW w:w="992" w:type="dxa"/>
            <w:shd w:val="clear" w:color="auto" w:fill="D9D9D9" w:themeFill="background1" w:themeFillShade="D9"/>
          </w:tcPr>
          <w:p w:rsidR="001C3288" w:rsidRDefault="001C3288" w:rsidP="00BD6C2D">
            <w:pPr>
              <w:jc w:val="center"/>
              <w:rPr>
                <w:b/>
                <w:sz w:val="20"/>
                <w:szCs w:val="20"/>
              </w:rPr>
            </w:pPr>
          </w:p>
          <w:p w:rsidR="001C3288" w:rsidRDefault="001C3288" w:rsidP="00BD6C2D">
            <w:pPr>
              <w:jc w:val="center"/>
              <w:rPr>
                <w:b/>
                <w:sz w:val="20"/>
                <w:szCs w:val="20"/>
              </w:rPr>
            </w:pPr>
          </w:p>
          <w:p w:rsidR="001C3288" w:rsidRDefault="001C3288" w:rsidP="00BD6C2D">
            <w:pPr>
              <w:jc w:val="center"/>
              <w:rPr>
                <w:b/>
                <w:sz w:val="20"/>
                <w:szCs w:val="20"/>
              </w:rPr>
            </w:pPr>
            <w:r>
              <w:rPr>
                <w:b/>
                <w:sz w:val="20"/>
                <w:szCs w:val="20"/>
              </w:rPr>
              <w:t>Wadium</w:t>
            </w:r>
          </w:p>
        </w:tc>
        <w:tc>
          <w:tcPr>
            <w:tcW w:w="1559" w:type="dxa"/>
            <w:shd w:val="clear" w:color="auto" w:fill="D9D9D9" w:themeFill="background1" w:themeFillShade="D9"/>
          </w:tcPr>
          <w:p w:rsidR="001C3288" w:rsidRDefault="001C3288" w:rsidP="00BD6C2D">
            <w:pPr>
              <w:jc w:val="center"/>
              <w:rPr>
                <w:b/>
                <w:sz w:val="20"/>
                <w:szCs w:val="20"/>
              </w:rPr>
            </w:pPr>
            <w:r>
              <w:rPr>
                <w:b/>
                <w:sz w:val="20"/>
                <w:szCs w:val="20"/>
              </w:rPr>
              <w:t>Data, godzina przetargu</w:t>
            </w:r>
          </w:p>
        </w:tc>
      </w:tr>
      <w:tr w:rsidR="001C3288" w:rsidRPr="00FD7213" w:rsidTr="00BE2B68">
        <w:tc>
          <w:tcPr>
            <w:tcW w:w="568" w:type="dxa"/>
            <w:shd w:val="clear" w:color="auto" w:fill="D9D9D9" w:themeFill="background1" w:themeFillShade="D9"/>
            <w:vAlign w:val="center"/>
          </w:tcPr>
          <w:p w:rsidR="001C3288" w:rsidRPr="00A4798B" w:rsidRDefault="001C3288" w:rsidP="00BD6C2D">
            <w:pPr>
              <w:jc w:val="center"/>
              <w:rPr>
                <w:sz w:val="16"/>
                <w:szCs w:val="16"/>
              </w:rPr>
            </w:pPr>
            <w:r>
              <w:rPr>
                <w:sz w:val="16"/>
                <w:szCs w:val="16"/>
              </w:rPr>
              <w:t>1</w:t>
            </w:r>
          </w:p>
        </w:tc>
        <w:tc>
          <w:tcPr>
            <w:tcW w:w="567" w:type="dxa"/>
            <w:shd w:val="clear" w:color="auto" w:fill="D9D9D9" w:themeFill="background1" w:themeFillShade="D9"/>
            <w:vAlign w:val="center"/>
          </w:tcPr>
          <w:p w:rsidR="001C3288" w:rsidRPr="00A4798B" w:rsidRDefault="001C3288" w:rsidP="00BD6C2D">
            <w:pPr>
              <w:jc w:val="center"/>
              <w:rPr>
                <w:sz w:val="16"/>
                <w:szCs w:val="16"/>
              </w:rPr>
            </w:pPr>
            <w:r>
              <w:rPr>
                <w:sz w:val="16"/>
                <w:szCs w:val="16"/>
              </w:rPr>
              <w:t>2</w:t>
            </w:r>
          </w:p>
        </w:tc>
        <w:tc>
          <w:tcPr>
            <w:tcW w:w="1276" w:type="dxa"/>
            <w:shd w:val="clear" w:color="auto" w:fill="D9D9D9" w:themeFill="background1" w:themeFillShade="D9"/>
            <w:vAlign w:val="center"/>
          </w:tcPr>
          <w:p w:rsidR="001C3288" w:rsidRPr="00A4798B" w:rsidRDefault="001C3288" w:rsidP="00BD6C2D">
            <w:pPr>
              <w:jc w:val="center"/>
              <w:rPr>
                <w:sz w:val="16"/>
                <w:szCs w:val="16"/>
              </w:rPr>
            </w:pPr>
            <w:r>
              <w:rPr>
                <w:sz w:val="16"/>
                <w:szCs w:val="16"/>
              </w:rPr>
              <w:t>3</w:t>
            </w:r>
          </w:p>
        </w:tc>
        <w:tc>
          <w:tcPr>
            <w:tcW w:w="992" w:type="dxa"/>
            <w:shd w:val="clear" w:color="auto" w:fill="D9D9D9" w:themeFill="background1" w:themeFillShade="D9"/>
          </w:tcPr>
          <w:p w:rsidR="001C3288" w:rsidRPr="00A4798B" w:rsidRDefault="001C3288" w:rsidP="00BD6C2D">
            <w:pPr>
              <w:jc w:val="center"/>
              <w:rPr>
                <w:sz w:val="16"/>
                <w:szCs w:val="16"/>
              </w:rPr>
            </w:pPr>
            <w:r>
              <w:rPr>
                <w:sz w:val="16"/>
                <w:szCs w:val="16"/>
              </w:rPr>
              <w:t>4</w:t>
            </w:r>
          </w:p>
        </w:tc>
        <w:tc>
          <w:tcPr>
            <w:tcW w:w="1134" w:type="dxa"/>
            <w:shd w:val="clear" w:color="auto" w:fill="D9D9D9" w:themeFill="background1" w:themeFillShade="D9"/>
          </w:tcPr>
          <w:p w:rsidR="001C3288" w:rsidRPr="00A4798B" w:rsidRDefault="001C3288" w:rsidP="00BD6C2D">
            <w:pPr>
              <w:jc w:val="center"/>
              <w:rPr>
                <w:sz w:val="16"/>
                <w:szCs w:val="16"/>
              </w:rPr>
            </w:pPr>
            <w:r>
              <w:rPr>
                <w:sz w:val="16"/>
                <w:szCs w:val="16"/>
              </w:rPr>
              <w:t>5</w:t>
            </w:r>
          </w:p>
        </w:tc>
        <w:tc>
          <w:tcPr>
            <w:tcW w:w="1701" w:type="dxa"/>
            <w:shd w:val="clear" w:color="auto" w:fill="D9D9D9" w:themeFill="background1" w:themeFillShade="D9"/>
          </w:tcPr>
          <w:p w:rsidR="001C3288" w:rsidRDefault="001C3288" w:rsidP="00BD6C2D">
            <w:pPr>
              <w:jc w:val="center"/>
              <w:rPr>
                <w:sz w:val="16"/>
                <w:szCs w:val="16"/>
              </w:rPr>
            </w:pPr>
          </w:p>
        </w:tc>
        <w:tc>
          <w:tcPr>
            <w:tcW w:w="1843" w:type="dxa"/>
            <w:shd w:val="clear" w:color="auto" w:fill="D9D9D9" w:themeFill="background1" w:themeFillShade="D9"/>
          </w:tcPr>
          <w:p w:rsidR="001C3288" w:rsidRPr="00A4798B" w:rsidRDefault="001C3288" w:rsidP="00BD6C2D">
            <w:pPr>
              <w:jc w:val="center"/>
              <w:rPr>
                <w:sz w:val="16"/>
                <w:szCs w:val="16"/>
              </w:rPr>
            </w:pPr>
            <w:r>
              <w:rPr>
                <w:sz w:val="16"/>
                <w:szCs w:val="16"/>
              </w:rPr>
              <w:t>7</w:t>
            </w:r>
          </w:p>
        </w:tc>
        <w:tc>
          <w:tcPr>
            <w:tcW w:w="4678" w:type="dxa"/>
            <w:shd w:val="clear" w:color="auto" w:fill="D9D9D9" w:themeFill="background1" w:themeFillShade="D9"/>
          </w:tcPr>
          <w:p w:rsidR="001C3288" w:rsidRDefault="001C3288" w:rsidP="00BD6C2D">
            <w:pPr>
              <w:jc w:val="center"/>
              <w:rPr>
                <w:sz w:val="16"/>
                <w:szCs w:val="16"/>
              </w:rPr>
            </w:pPr>
            <w:r>
              <w:rPr>
                <w:sz w:val="16"/>
                <w:szCs w:val="16"/>
              </w:rPr>
              <w:t>8</w:t>
            </w:r>
          </w:p>
        </w:tc>
        <w:tc>
          <w:tcPr>
            <w:tcW w:w="992" w:type="dxa"/>
            <w:shd w:val="clear" w:color="auto" w:fill="D9D9D9" w:themeFill="background1" w:themeFillShade="D9"/>
          </w:tcPr>
          <w:p w:rsidR="001C3288" w:rsidRDefault="001C3288" w:rsidP="00BD6C2D">
            <w:pPr>
              <w:jc w:val="center"/>
              <w:rPr>
                <w:sz w:val="16"/>
                <w:szCs w:val="16"/>
              </w:rPr>
            </w:pPr>
          </w:p>
        </w:tc>
        <w:tc>
          <w:tcPr>
            <w:tcW w:w="1559" w:type="dxa"/>
            <w:shd w:val="clear" w:color="auto" w:fill="D9D9D9" w:themeFill="background1" w:themeFillShade="D9"/>
          </w:tcPr>
          <w:p w:rsidR="001C3288" w:rsidRDefault="001C3288" w:rsidP="00BD6C2D">
            <w:pPr>
              <w:jc w:val="center"/>
              <w:rPr>
                <w:sz w:val="16"/>
                <w:szCs w:val="16"/>
              </w:rPr>
            </w:pPr>
          </w:p>
        </w:tc>
      </w:tr>
      <w:tr w:rsidR="001C3288" w:rsidRPr="00FD7213" w:rsidTr="00BE2B68">
        <w:tc>
          <w:tcPr>
            <w:tcW w:w="568" w:type="dxa"/>
            <w:shd w:val="clear" w:color="auto" w:fill="D9D9D9" w:themeFill="background1" w:themeFillShade="D9"/>
          </w:tcPr>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sidRPr="00FD7213">
              <w:rPr>
                <w:sz w:val="20"/>
                <w:szCs w:val="20"/>
              </w:rPr>
              <w:t>1</w:t>
            </w:r>
          </w:p>
        </w:tc>
        <w:tc>
          <w:tcPr>
            <w:tcW w:w="567" w:type="dxa"/>
            <w:shd w:val="clear" w:color="auto" w:fill="auto"/>
          </w:tcPr>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61</w:t>
            </w:r>
          </w:p>
        </w:tc>
        <w:tc>
          <w:tcPr>
            <w:tcW w:w="1276" w:type="dxa"/>
            <w:shd w:val="clear" w:color="auto" w:fill="auto"/>
          </w:tcPr>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Kopaniewo</w:t>
            </w:r>
          </w:p>
        </w:tc>
        <w:tc>
          <w:tcPr>
            <w:tcW w:w="992" w:type="dxa"/>
          </w:tcPr>
          <w:p w:rsidR="001C3288" w:rsidRDefault="001C3288" w:rsidP="00BD6C2D">
            <w:pPr>
              <w:spacing w:line="360" w:lineRule="auto"/>
              <w:jc w:val="center"/>
              <w:rPr>
                <w:sz w:val="20"/>
                <w:szCs w:val="20"/>
              </w:rPr>
            </w:pPr>
          </w:p>
          <w:p w:rsidR="001C3288" w:rsidRPr="007173F8" w:rsidRDefault="001C3288" w:rsidP="00BD6C2D">
            <w:pPr>
              <w:spacing w:line="360" w:lineRule="auto"/>
              <w:jc w:val="center"/>
              <w:rPr>
                <w:sz w:val="20"/>
                <w:szCs w:val="20"/>
              </w:rPr>
            </w:pPr>
            <w:r>
              <w:rPr>
                <w:sz w:val="20"/>
                <w:szCs w:val="20"/>
              </w:rPr>
              <w:t>Wicko</w:t>
            </w:r>
          </w:p>
        </w:tc>
        <w:tc>
          <w:tcPr>
            <w:tcW w:w="1134" w:type="dxa"/>
          </w:tcPr>
          <w:p w:rsidR="001C3288" w:rsidRDefault="001C3288" w:rsidP="00BD6C2D">
            <w:pPr>
              <w:spacing w:line="360" w:lineRule="auto"/>
              <w:jc w:val="center"/>
              <w:rPr>
                <w:sz w:val="20"/>
                <w:szCs w:val="20"/>
              </w:rPr>
            </w:pPr>
          </w:p>
          <w:p w:rsidR="001C3288" w:rsidRPr="007173F8" w:rsidRDefault="001C3288" w:rsidP="00BD6C2D">
            <w:pPr>
              <w:spacing w:line="360" w:lineRule="auto"/>
              <w:jc w:val="center"/>
              <w:rPr>
                <w:sz w:val="20"/>
                <w:szCs w:val="20"/>
              </w:rPr>
            </w:pPr>
            <w:r>
              <w:rPr>
                <w:sz w:val="20"/>
                <w:szCs w:val="20"/>
              </w:rPr>
              <w:t>0.0072</w:t>
            </w:r>
          </w:p>
        </w:tc>
        <w:tc>
          <w:tcPr>
            <w:tcW w:w="1701" w:type="dxa"/>
          </w:tcPr>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SL1L/00040957/8</w:t>
            </w:r>
          </w:p>
        </w:tc>
        <w:tc>
          <w:tcPr>
            <w:tcW w:w="1843" w:type="dxa"/>
          </w:tcPr>
          <w:p w:rsidR="001C3288" w:rsidRDefault="001C3288" w:rsidP="00BD6C2D">
            <w:pPr>
              <w:spacing w:line="360" w:lineRule="auto"/>
              <w:jc w:val="center"/>
              <w:rPr>
                <w:sz w:val="20"/>
                <w:szCs w:val="20"/>
              </w:rPr>
            </w:pPr>
          </w:p>
          <w:p w:rsidR="001C3288" w:rsidRPr="00FD7213" w:rsidRDefault="002D1F5E" w:rsidP="00856AAF">
            <w:pPr>
              <w:spacing w:line="360" w:lineRule="auto"/>
              <w:jc w:val="center"/>
              <w:rPr>
                <w:sz w:val="20"/>
                <w:szCs w:val="20"/>
              </w:rPr>
            </w:pPr>
            <w:r>
              <w:rPr>
                <w:sz w:val="20"/>
                <w:szCs w:val="20"/>
              </w:rPr>
              <w:t>1600 zł netto*</w:t>
            </w:r>
          </w:p>
        </w:tc>
        <w:tc>
          <w:tcPr>
            <w:tcW w:w="4678" w:type="dxa"/>
          </w:tcPr>
          <w:p w:rsidR="001C3288" w:rsidRPr="00550849" w:rsidRDefault="001C3288" w:rsidP="00D95B99">
            <w:pPr>
              <w:spacing w:line="276" w:lineRule="auto"/>
              <w:jc w:val="both"/>
              <w:rPr>
                <w:color w:val="000000" w:themeColor="text1"/>
                <w:sz w:val="18"/>
                <w:szCs w:val="18"/>
              </w:rPr>
            </w:pPr>
            <w:r w:rsidRPr="00550849">
              <w:rPr>
                <w:color w:val="000000" w:themeColor="text1"/>
                <w:sz w:val="18"/>
                <w:szCs w:val="18"/>
              </w:rPr>
              <w:t>Działka oznaczona</w:t>
            </w:r>
            <w:r w:rsidR="00D95B99">
              <w:rPr>
                <w:color w:val="000000" w:themeColor="text1"/>
                <w:sz w:val="18"/>
                <w:szCs w:val="18"/>
              </w:rPr>
              <w:t xml:space="preserve"> numerem 61, położona w obrębie </w:t>
            </w:r>
            <w:r w:rsidRPr="00550849">
              <w:rPr>
                <w:color w:val="000000" w:themeColor="text1"/>
                <w:sz w:val="18"/>
                <w:szCs w:val="18"/>
              </w:rPr>
              <w:t>Kopaniewo gmina Wick</w:t>
            </w:r>
            <w:r w:rsidR="00D95B99">
              <w:rPr>
                <w:color w:val="000000" w:themeColor="text1"/>
                <w:sz w:val="18"/>
                <w:szCs w:val="18"/>
              </w:rPr>
              <w:t xml:space="preserve">o jest objęta miejscowym planem </w:t>
            </w:r>
            <w:r w:rsidRPr="00550849">
              <w:rPr>
                <w:color w:val="000000" w:themeColor="text1"/>
                <w:sz w:val="18"/>
                <w:szCs w:val="18"/>
              </w:rPr>
              <w:t xml:space="preserve">zagospodarowania </w:t>
            </w:r>
            <w:r w:rsidR="00D95B99">
              <w:rPr>
                <w:color w:val="000000" w:themeColor="text1"/>
                <w:sz w:val="18"/>
                <w:szCs w:val="18"/>
              </w:rPr>
              <w:t xml:space="preserve">przestrzennego dla miejscowości </w:t>
            </w:r>
            <w:r w:rsidRPr="00550849">
              <w:rPr>
                <w:color w:val="000000" w:themeColor="text1"/>
                <w:sz w:val="18"/>
                <w:szCs w:val="18"/>
              </w:rPr>
              <w:t>Kopaniewo gm. Wicko, zatwierdzonym Uchwałą nr</w:t>
            </w:r>
            <w:r w:rsidR="00BE2B68">
              <w:rPr>
                <w:color w:val="000000" w:themeColor="text1"/>
                <w:sz w:val="18"/>
                <w:szCs w:val="18"/>
              </w:rPr>
              <w:t xml:space="preserve"> </w:t>
            </w:r>
            <w:r w:rsidRPr="00550849">
              <w:rPr>
                <w:color w:val="000000" w:themeColor="text1"/>
                <w:sz w:val="18"/>
                <w:szCs w:val="18"/>
              </w:rPr>
              <w:lastRenderedPageBreak/>
              <w:t xml:space="preserve">XXI/58/2012 Rady Gminy Wicko  z dnia 26 czerwca 2012r. (Dz. </w:t>
            </w:r>
            <w:r w:rsidR="00D95B99">
              <w:rPr>
                <w:color w:val="000000" w:themeColor="text1"/>
                <w:sz w:val="18"/>
                <w:szCs w:val="18"/>
              </w:rPr>
              <w:t>U. Woj. Pom. z 2012-08-</w:t>
            </w:r>
            <w:r w:rsidRPr="00550849">
              <w:rPr>
                <w:color w:val="000000" w:themeColor="text1"/>
                <w:sz w:val="18"/>
                <w:szCs w:val="18"/>
              </w:rPr>
              <w:t>10, pozycja 2644) z funkcją terenu- teren komunikacji wewnętrznej- drogi dojazdowe, oznaczoną na rysunku planu symbolem 98.KDW. Dla w/w nieruchomości nie podjęto uchwały w sprawie objęcia jej obszarem rewitalizacji, o której mowa w art.</w:t>
            </w:r>
            <w:r w:rsidR="00D95B99">
              <w:rPr>
                <w:color w:val="000000" w:themeColor="text1"/>
                <w:sz w:val="18"/>
                <w:szCs w:val="18"/>
              </w:rPr>
              <w:t xml:space="preserve"> 8 ustawy z dnia 09.10.2015 r. </w:t>
            </w:r>
            <w:r w:rsidRPr="00550849">
              <w:rPr>
                <w:color w:val="000000" w:themeColor="text1"/>
                <w:sz w:val="18"/>
                <w:szCs w:val="18"/>
              </w:rPr>
              <w:t xml:space="preserve">o rewitalizacji (t.j. Dz.U. z 2021 r. poz. 485 </w:t>
            </w:r>
            <w:r w:rsidR="00BE2B68">
              <w:rPr>
                <w:color w:val="000000" w:themeColor="text1"/>
                <w:sz w:val="18"/>
                <w:szCs w:val="18"/>
              </w:rPr>
              <w:br/>
            </w:r>
            <w:r w:rsidRPr="00550849">
              <w:rPr>
                <w:color w:val="000000" w:themeColor="text1"/>
                <w:sz w:val="18"/>
                <w:szCs w:val="18"/>
              </w:rPr>
              <w:t>z późn. zm.).</w:t>
            </w:r>
            <w:r w:rsidR="00D95B99">
              <w:rPr>
                <w:color w:val="000000" w:themeColor="text1"/>
                <w:sz w:val="18"/>
                <w:szCs w:val="18"/>
              </w:rPr>
              <w:t xml:space="preserve"> </w:t>
            </w:r>
            <w:r w:rsidRPr="00550849">
              <w:rPr>
                <w:color w:val="000000" w:themeColor="text1"/>
                <w:sz w:val="18"/>
                <w:szCs w:val="18"/>
              </w:rPr>
              <w:t xml:space="preserve">Nieruchomość zabudowana: słup energetyczny </w:t>
            </w:r>
            <w:r w:rsidR="00BE2B68">
              <w:rPr>
                <w:color w:val="000000" w:themeColor="text1"/>
                <w:sz w:val="18"/>
                <w:szCs w:val="18"/>
              </w:rPr>
              <w:br/>
            </w:r>
            <w:r w:rsidRPr="00550849">
              <w:rPr>
                <w:color w:val="000000" w:themeColor="text1"/>
                <w:sz w:val="18"/>
                <w:szCs w:val="18"/>
              </w:rPr>
              <w:t>i stacja transformatorowa.</w:t>
            </w:r>
            <w:r w:rsidR="00D95B99">
              <w:rPr>
                <w:color w:val="000000" w:themeColor="text1"/>
                <w:sz w:val="18"/>
                <w:szCs w:val="18"/>
              </w:rPr>
              <w:t xml:space="preserve"> </w:t>
            </w:r>
            <w:r w:rsidRPr="00550849">
              <w:rPr>
                <w:color w:val="000000" w:themeColor="text1"/>
                <w:sz w:val="18"/>
                <w:szCs w:val="18"/>
              </w:rPr>
              <w:t xml:space="preserve">Nieruchomość będąca przedmiotem sprzedaży nie jest obciążona hipoteką, ani innymi ciężarami </w:t>
            </w:r>
            <w:r w:rsidRPr="00550849">
              <w:rPr>
                <w:color w:val="000000" w:themeColor="text1"/>
                <w:sz w:val="18"/>
                <w:szCs w:val="18"/>
              </w:rPr>
              <w:br/>
              <w:t>i ograniczeniami.</w:t>
            </w:r>
          </w:p>
        </w:tc>
        <w:tc>
          <w:tcPr>
            <w:tcW w:w="992" w:type="dxa"/>
          </w:tcPr>
          <w:p w:rsidR="00F3520D" w:rsidRPr="00D95B99" w:rsidRDefault="00F3520D" w:rsidP="00BD6C2D">
            <w:pPr>
              <w:spacing w:line="276" w:lineRule="auto"/>
              <w:jc w:val="center"/>
              <w:rPr>
                <w:sz w:val="20"/>
                <w:szCs w:val="20"/>
              </w:rPr>
            </w:pPr>
          </w:p>
          <w:p w:rsidR="001C3288" w:rsidRPr="00D95B99" w:rsidRDefault="00856AAF" w:rsidP="00BD6C2D">
            <w:pPr>
              <w:spacing w:line="276" w:lineRule="auto"/>
              <w:jc w:val="center"/>
              <w:rPr>
                <w:sz w:val="20"/>
                <w:szCs w:val="20"/>
              </w:rPr>
            </w:pPr>
            <w:r w:rsidRPr="00D95B99">
              <w:rPr>
                <w:sz w:val="20"/>
                <w:szCs w:val="20"/>
              </w:rPr>
              <w:t>160,00</w:t>
            </w:r>
            <w:r w:rsidR="00F3520D" w:rsidRPr="00D95B99">
              <w:rPr>
                <w:sz w:val="20"/>
                <w:szCs w:val="20"/>
              </w:rPr>
              <w:t xml:space="preserve"> zł</w:t>
            </w:r>
          </w:p>
        </w:tc>
        <w:tc>
          <w:tcPr>
            <w:tcW w:w="1559" w:type="dxa"/>
          </w:tcPr>
          <w:p w:rsidR="001C3288" w:rsidRPr="00D95B99" w:rsidRDefault="001C3288" w:rsidP="00BD6C2D">
            <w:pPr>
              <w:spacing w:line="276" w:lineRule="auto"/>
              <w:jc w:val="center"/>
              <w:rPr>
                <w:sz w:val="20"/>
                <w:szCs w:val="20"/>
              </w:rPr>
            </w:pPr>
          </w:p>
          <w:p w:rsidR="00EE12F1" w:rsidRPr="00D95B99" w:rsidRDefault="00EE12F1" w:rsidP="00BD6C2D">
            <w:pPr>
              <w:spacing w:line="276" w:lineRule="auto"/>
              <w:jc w:val="center"/>
              <w:rPr>
                <w:sz w:val="20"/>
                <w:szCs w:val="20"/>
              </w:rPr>
            </w:pPr>
            <w:r w:rsidRPr="00D95B99">
              <w:rPr>
                <w:sz w:val="20"/>
                <w:szCs w:val="20"/>
              </w:rPr>
              <w:t>11.07.2024 r.</w:t>
            </w:r>
          </w:p>
          <w:p w:rsidR="00EE12F1" w:rsidRPr="00D95B99" w:rsidRDefault="00EE12F1" w:rsidP="00BD6C2D">
            <w:pPr>
              <w:spacing w:line="276" w:lineRule="auto"/>
              <w:jc w:val="center"/>
              <w:rPr>
                <w:sz w:val="20"/>
                <w:szCs w:val="20"/>
              </w:rPr>
            </w:pPr>
            <w:r w:rsidRPr="00D95B99">
              <w:rPr>
                <w:sz w:val="20"/>
                <w:szCs w:val="20"/>
              </w:rPr>
              <w:t>Godz.: 9:00</w:t>
            </w:r>
          </w:p>
        </w:tc>
      </w:tr>
      <w:tr w:rsidR="001C3288" w:rsidRPr="00FD7213" w:rsidTr="00BE2B68">
        <w:tc>
          <w:tcPr>
            <w:tcW w:w="568" w:type="dxa"/>
            <w:shd w:val="clear" w:color="auto" w:fill="D9D9D9" w:themeFill="background1" w:themeFillShade="D9"/>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sidRPr="00FD7213">
              <w:rPr>
                <w:sz w:val="20"/>
                <w:szCs w:val="20"/>
              </w:rPr>
              <w:t>2</w:t>
            </w:r>
          </w:p>
        </w:tc>
        <w:tc>
          <w:tcPr>
            <w:tcW w:w="567" w:type="dxa"/>
            <w:shd w:val="clear" w:color="auto" w:fill="auto"/>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87</w:t>
            </w:r>
          </w:p>
        </w:tc>
        <w:tc>
          <w:tcPr>
            <w:tcW w:w="1276" w:type="dxa"/>
            <w:shd w:val="clear" w:color="auto" w:fill="auto"/>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Rozgorze</w:t>
            </w:r>
          </w:p>
        </w:tc>
        <w:tc>
          <w:tcPr>
            <w:tcW w:w="992"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Nowa Wieś Lęborska</w:t>
            </w:r>
          </w:p>
        </w:tc>
        <w:tc>
          <w:tcPr>
            <w:tcW w:w="1134"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0.01</w:t>
            </w:r>
          </w:p>
        </w:tc>
        <w:tc>
          <w:tcPr>
            <w:tcW w:w="1701"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SL1L/00044652/8</w:t>
            </w:r>
          </w:p>
        </w:tc>
        <w:tc>
          <w:tcPr>
            <w:tcW w:w="1843"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856AAF">
            <w:pPr>
              <w:spacing w:line="360" w:lineRule="auto"/>
              <w:jc w:val="center"/>
              <w:rPr>
                <w:sz w:val="20"/>
                <w:szCs w:val="20"/>
              </w:rPr>
            </w:pPr>
            <w:r>
              <w:rPr>
                <w:sz w:val="20"/>
                <w:szCs w:val="20"/>
              </w:rPr>
              <w:t xml:space="preserve">2560 zł </w:t>
            </w:r>
            <w:r w:rsidR="002D1F5E">
              <w:rPr>
                <w:sz w:val="20"/>
                <w:szCs w:val="20"/>
              </w:rPr>
              <w:t>netto*</w:t>
            </w:r>
          </w:p>
        </w:tc>
        <w:tc>
          <w:tcPr>
            <w:tcW w:w="4678" w:type="dxa"/>
          </w:tcPr>
          <w:p w:rsidR="001C3288" w:rsidRPr="00550849" w:rsidRDefault="001C3288" w:rsidP="00D95B99">
            <w:pPr>
              <w:spacing w:line="276" w:lineRule="auto"/>
              <w:jc w:val="both"/>
              <w:rPr>
                <w:color w:val="000000" w:themeColor="text1"/>
                <w:sz w:val="18"/>
                <w:szCs w:val="18"/>
              </w:rPr>
            </w:pPr>
            <w:r w:rsidRPr="00550849">
              <w:rPr>
                <w:color w:val="000000" w:themeColor="text1"/>
                <w:sz w:val="18"/>
                <w:szCs w:val="18"/>
              </w:rPr>
              <w:t>Dla działki 87 obr. Rozgorze gm. Nowa Wieś Lęborska nie ma obowiązującego miejscowego planu zagospodarowania przestrzennego, obowiązuje Uchwała nr XIII/145/19</w:t>
            </w:r>
            <w:r w:rsidR="00D95B99">
              <w:rPr>
                <w:color w:val="000000" w:themeColor="text1"/>
                <w:sz w:val="18"/>
                <w:szCs w:val="18"/>
              </w:rPr>
              <w:t xml:space="preserve"> Rada Gminy Nowa Wieś Lęborska z dnia 18 listopada 2019 r. </w:t>
            </w:r>
            <w:r w:rsidR="00D95B99">
              <w:rPr>
                <w:color w:val="000000" w:themeColor="text1"/>
                <w:sz w:val="18"/>
                <w:szCs w:val="18"/>
              </w:rPr>
              <w:br/>
            </w:r>
            <w:r w:rsidRPr="00550849">
              <w:rPr>
                <w:color w:val="000000" w:themeColor="text1"/>
                <w:sz w:val="18"/>
                <w:szCs w:val="18"/>
              </w:rPr>
              <w:t>w sprawie uchwalenia Studium uwarunkowań i kierunków zagospodarowania</w:t>
            </w:r>
            <w:r w:rsidR="00D95B99">
              <w:rPr>
                <w:color w:val="000000" w:themeColor="text1"/>
                <w:sz w:val="18"/>
                <w:szCs w:val="18"/>
              </w:rPr>
              <w:t xml:space="preserve"> przestrzennego Gminy Nowa Wieś </w:t>
            </w:r>
            <w:r w:rsidRPr="00550849">
              <w:rPr>
                <w:color w:val="000000" w:themeColor="text1"/>
                <w:sz w:val="18"/>
                <w:szCs w:val="18"/>
              </w:rPr>
              <w:t xml:space="preserve">Lęborska </w:t>
            </w:r>
            <w:r w:rsidR="00D95B99">
              <w:rPr>
                <w:color w:val="000000" w:themeColor="text1"/>
                <w:sz w:val="18"/>
                <w:szCs w:val="18"/>
              </w:rPr>
              <w:t xml:space="preserve">według której działka znajduje </w:t>
            </w:r>
            <w:r w:rsidRPr="00550849">
              <w:rPr>
                <w:color w:val="000000" w:themeColor="text1"/>
                <w:sz w:val="18"/>
                <w:szCs w:val="18"/>
              </w:rPr>
              <w:t>się na terenach zainwestowanych – strefa I – obszary zwar</w:t>
            </w:r>
            <w:r w:rsidR="00D95B99">
              <w:rPr>
                <w:color w:val="000000" w:themeColor="text1"/>
                <w:sz w:val="18"/>
                <w:szCs w:val="18"/>
              </w:rPr>
              <w:t xml:space="preserve">tej oraz rozproszonej zabudowy </w:t>
            </w:r>
            <w:r w:rsidRPr="00550849">
              <w:rPr>
                <w:color w:val="000000" w:themeColor="text1"/>
                <w:sz w:val="18"/>
                <w:szCs w:val="18"/>
              </w:rPr>
              <w:t xml:space="preserve">o wielofunkcyjnym charakterze, dla w/w działki nie zostały wydane warunki zabudowy. Dla w/w nieruchomości nie podjęto uchwały o wyznaczeniu obszaru zdegradowanego </w:t>
            </w:r>
            <w:r w:rsidR="00BE2B68">
              <w:rPr>
                <w:color w:val="000000" w:themeColor="text1"/>
                <w:sz w:val="18"/>
                <w:szCs w:val="18"/>
              </w:rPr>
              <w:br/>
            </w:r>
            <w:r w:rsidRPr="00550849">
              <w:rPr>
                <w:color w:val="000000" w:themeColor="text1"/>
                <w:sz w:val="18"/>
                <w:szCs w:val="18"/>
              </w:rPr>
              <w:t xml:space="preserve">i obszaru rewitalizacji. Sposób zagospodarowania </w:t>
            </w:r>
            <w:r w:rsidR="00BE2B68">
              <w:rPr>
                <w:color w:val="000000" w:themeColor="text1"/>
                <w:sz w:val="18"/>
                <w:szCs w:val="18"/>
              </w:rPr>
              <w:br/>
            </w:r>
            <w:r w:rsidRPr="00550849">
              <w:rPr>
                <w:color w:val="000000" w:themeColor="text1"/>
                <w:sz w:val="18"/>
                <w:szCs w:val="18"/>
              </w:rPr>
              <w:t xml:space="preserve">i wykorzystania nieruchomości: czynny słup energetyczny </w:t>
            </w:r>
            <w:r w:rsidR="00BE2B68">
              <w:rPr>
                <w:color w:val="000000" w:themeColor="text1"/>
                <w:sz w:val="18"/>
                <w:szCs w:val="18"/>
              </w:rPr>
              <w:br/>
            </w:r>
            <w:r w:rsidRPr="00550849">
              <w:rPr>
                <w:color w:val="000000" w:themeColor="text1"/>
                <w:sz w:val="18"/>
                <w:szCs w:val="18"/>
              </w:rPr>
              <w:t>i stacja transformatorowa.</w:t>
            </w:r>
            <w:r w:rsidR="00D95B99">
              <w:rPr>
                <w:color w:val="000000" w:themeColor="text1"/>
                <w:sz w:val="18"/>
                <w:szCs w:val="18"/>
              </w:rPr>
              <w:t xml:space="preserve"> </w:t>
            </w:r>
            <w:r w:rsidRPr="00550849">
              <w:rPr>
                <w:color w:val="000000" w:themeColor="text1"/>
                <w:sz w:val="18"/>
                <w:szCs w:val="18"/>
              </w:rPr>
              <w:t xml:space="preserve">Nieruchomość będąca przedmiotem sprzedaży nie jest obciążona hipoteką, ani innymi ciężarami </w:t>
            </w:r>
            <w:r w:rsidRPr="00550849">
              <w:rPr>
                <w:color w:val="000000" w:themeColor="text1"/>
                <w:sz w:val="18"/>
                <w:szCs w:val="18"/>
              </w:rPr>
              <w:br/>
              <w:t>i ograniczeniami.</w:t>
            </w:r>
          </w:p>
        </w:tc>
        <w:tc>
          <w:tcPr>
            <w:tcW w:w="992" w:type="dxa"/>
          </w:tcPr>
          <w:p w:rsidR="001C3288" w:rsidRPr="00D95B99" w:rsidRDefault="001C3288" w:rsidP="00BD6C2D">
            <w:pPr>
              <w:spacing w:line="276" w:lineRule="auto"/>
              <w:jc w:val="center"/>
              <w:rPr>
                <w:sz w:val="20"/>
                <w:szCs w:val="20"/>
              </w:rPr>
            </w:pPr>
          </w:p>
          <w:p w:rsidR="00F3520D" w:rsidRPr="00D95B99" w:rsidRDefault="00F3520D" w:rsidP="00BD6C2D">
            <w:pPr>
              <w:spacing w:line="276" w:lineRule="auto"/>
              <w:jc w:val="center"/>
              <w:rPr>
                <w:sz w:val="20"/>
                <w:szCs w:val="20"/>
              </w:rPr>
            </w:pPr>
          </w:p>
          <w:p w:rsidR="00F3520D" w:rsidRPr="00D95B99" w:rsidRDefault="00F3520D" w:rsidP="00BD6C2D">
            <w:pPr>
              <w:spacing w:line="276" w:lineRule="auto"/>
              <w:jc w:val="center"/>
              <w:rPr>
                <w:sz w:val="20"/>
                <w:szCs w:val="20"/>
              </w:rPr>
            </w:pPr>
            <w:r w:rsidRPr="00D95B99">
              <w:rPr>
                <w:sz w:val="20"/>
                <w:szCs w:val="20"/>
              </w:rPr>
              <w:t>256,00 zł</w:t>
            </w:r>
          </w:p>
        </w:tc>
        <w:tc>
          <w:tcPr>
            <w:tcW w:w="1559" w:type="dxa"/>
          </w:tcPr>
          <w:p w:rsidR="001C3288" w:rsidRPr="00D95B99" w:rsidRDefault="001C3288" w:rsidP="00BD6C2D">
            <w:pPr>
              <w:spacing w:line="276" w:lineRule="auto"/>
              <w:jc w:val="center"/>
              <w:rPr>
                <w:sz w:val="20"/>
                <w:szCs w:val="20"/>
              </w:rPr>
            </w:pPr>
          </w:p>
          <w:p w:rsidR="00EE12F1" w:rsidRPr="00D95B99" w:rsidRDefault="00EE12F1" w:rsidP="00BD6C2D">
            <w:pPr>
              <w:spacing w:line="276" w:lineRule="auto"/>
              <w:jc w:val="center"/>
              <w:rPr>
                <w:sz w:val="20"/>
                <w:szCs w:val="20"/>
              </w:rPr>
            </w:pPr>
            <w:r w:rsidRPr="00D95B99">
              <w:rPr>
                <w:sz w:val="20"/>
                <w:szCs w:val="20"/>
              </w:rPr>
              <w:t>11.07.2024 r.</w:t>
            </w:r>
          </w:p>
          <w:p w:rsidR="00EE12F1" w:rsidRPr="00D95B99" w:rsidRDefault="00EE12F1" w:rsidP="00BD6C2D">
            <w:pPr>
              <w:spacing w:line="276" w:lineRule="auto"/>
              <w:jc w:val="center"/>
              <w:rPr>
                <w:sz w:val="20"/>
                <w:szCs w:val="20"/>
              </w:rPr>
            </w:pPr>
            <w:r w:rsidRPr="00D95B99">
              <w:rPr>
                <w:sz w:val="20"/>
                <w:szCs w:val="20"/>
              </w:rPr>
              <w:t>Godz.: 9:30</w:t>
            </w:r>
          </w:p>
        </w:tc>
      </w:tr>
      <w:tr w:rsidR="001C3288" w:rsidRPr="00FD7213" w:rsidTr="00BE2B68">
        <w:tc>
          <w:tcPr>
            <w:tcW w:w="568" w:type="dxa"/>
            <w:shd w:val="clear" w:color="auto" w:fill="D9D9D9" w:themeFill="background1" w:themeFillShade="D9"/>
          </w:tcPr>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sidRPr="00FD7213">
              <w:rPr>
                <w:sz w:val="20"/>
                <w:szCs w:val="20"/>
              </w:rPr>
              <w:t>3</w:t>
            </w:r>
          </w:p>
        </w:tc>
        <w:tc>
          <w:tcPr>
            <w:tcW w:w="567" w:type="dxa"/>
            <w:shd w:val="clear" w:color="auto" w:fill="auto"/>
          </w:tcPr>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246</w:t>
            </w:r>
          </w:p>
        </w:tc>
        <w:tc>
          <w:tcPr>
            <w:tcW w:w="1276" w:type="dxa"/>
            <w:shd w:val="clear" w:color="auto" w:fill="auto"/>
          </w:tcPr>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Nowęcin</w:t>
            </w:r>
          </w:p>
        </w:tc>
        <w:tc>
          <w:tcPr>
            <w:tcW w:w="992" w:type="dxa"/>
          </w:tcPr>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Wicko</w:t>
            </w:r>
          </w:p>
        </w:tc>
        <w:tc>
          <w:tcPr>
            <w:tcW w:w="1134" w:type="dxa"/>
          </w:tcPr>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0.0034</w:t>
            </w:r>
          </w:p>
        </w:tc>
        <w:tc>
          <w:tcPr>
            <w:tcW w:w="1701" w:type="dxa"/>
          </w:tcPr>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SL1L/00040949/9</w:t>
            </w:r>
          </w:p>
        </w:tc>
        <w:tc>
          <w:tcPr>
            <w:tcW w:w="1843" w:type="dxa"/>
          </w:tcPr>
          <w:p w:rsidR="001C3288" w:rsidRDefault="001C3288" w:rsidP="00BD6C2D">
            <w:pPr>
              <w:spacing w:line="360" w:lineRule="auto"/>
              <w:jc w:val="center"/>
              <w:rPr>
                <w:sz w:val="20"/>
                <w:szCs w:val="20"/>
              </w:rPr>
            </w:pPr>
          </w:p>
          <w:p w:rsidR="001C3288" w:rsidRPr="00FD7213" w:rsidRDefault="001C3288" w:rsidP="00856AAF">
            <w:pPr>
              <w:spacing w:line="360" w:lineRule="auto"/>
              <w:jc w:val="center"/>
              <w:rPr>
                <w:sz w:val="20"/>
                <w:szCs w:val="20"/>
              </w:rPr>
            </w:pPr>
            <w:r>
              <w:rPr>
                <w:sz w:val="20"/>
                <w:szCs w:val="20"/>
              </w:rPr>
              <w:t xml:space="preserve">3700 zł </w:t>
            </w:r>
            <w:r w:rsidR="002D1F5E">
              <w:rPr>
                <w:sz w:val="20"/>
                <w:szCs w:val="20"/>
              </w:rPr>
              <w:t>netto*</w:t>
            </w:r>
          </w:p>
        </w:tc>
        <w:tc>
          <w:tcPr>
            <w:tcW w:w="4678" w:type="dxa"/>
          </w:tcPr>
          <w:p w:rsidR="001C3288" w:rsidRPr="00550849" w:rsidRDefault="001C3288" w:rsidP="00D95B99">
            <w:pPr>
              <w:spacing w:line="276" w:lineRule="auto"/>
              <w:jc w:val="both"/>
              <w:rPr>
                <w:color w:val="000000" w:themeColor="text1"/>
                <w:sz w:val="18"/>
                <w:szCs w:val="18"/>
              </w:rPr>
            </w:pPr>
            <w:r w:rsidRPr="00550849">
              <w:rPr>
                <w:color w:val="000000" w:themeColor="text1"/>
                <w:sz w:val="18"/>
                <w:szCs w:val="18"/>
              </w:rPr>
              <w:t xml:space="preserve">Działka oznaczona numerem 246, położona w obrębie Nowęcin gmina Wicko jest objęta miejscowym planem zagospodarowania przestrzennego dla miejscowości Nowęcin, gm. Wicko, zatwierdzony Uchwałą nr XXXII/183/2001 Rady Gminy Wicko z dnia 27 grudnia 2001 roku (Dz. Urz. Woj. Pom. z 2002-04-25, numer 26, pozycja 639) z funkcją terenu zabudowy komercyjno-usługowej, oznaczoną na rysunku planu symbolem 08.18.UU. Dla w/w nieruchomości nie podjęto uchwały w sprawie objęcia jej obszarem rewitalizacji, o której mowa w art. 8 ustawy z dnia 09.10.2015 r. </w:t>
            </w:r>
            <w:r w:rsidRPr="00550849">
              <w:rPr>
                <w:color w:val="000000" w:themeColor="text1"/>
                <w:sz w:val="18"/>
                <w:szCs w:val="18"/>
              </w:rPr>
              <w:br/>
              <w:t>o rewitalizacji (t.j. Dz.U. z 2021 r. poz. 485 z późn. zm.).</w:t>
            </w:r>
            <w:r w:rsidR="00D95B99">
              <w:rPr>
                <w:color w:val="000000" w:themeColor="text1"/>
                <w:sz w:val="18"/>
                <w:szCs w:val="18"/>
              </w:rPr>
              <w:t xml:space="preserve"> </w:t>
            </w:r>
            <w:r w:rsidRPr="00550849">
              <w:rPr>
                <w:color w:val="000000" w:themeColor="text1"/>
                <w:sz w:val="18"/>
                <w:szCs w:val="18"/>
              </w:rPr>
              <w:t>Nieruchomość zabudowana: słup energetyczny i stacja transformatorowa.</w:t>
            </w:r>
            <w:r w:rsidR="00D95B99">
              <w:rPr>
                <w:color w:val="000000" w:themeColor="text1"/>
                <w:sz w:val="18"/>
                <w:szCs w:val="18"/>
              </w:rPr>
              <w:t xml:space="preserve"> </w:t>
            </w:r>
            <w:r w:rsidRPr="00550849">
              <w:rPr>
                <w:color w:val="000000" w:themeColor="text1"/>
                <w:sz w:val="18"/>
                <w:szCs w:val="18"/>
              </w:rPr>
              <w:t xml:space="preserve">Nieruchomość będąca przedmiotem sprzedaży nie jest obciążona hipoteką, ani innymi ciężarami </w:t>
            </w:r>
            <w:r w:rsidRPr="00550849">
              <w:rPr>
                <w:color w:val="000000" w:themeColor="text1"/>
                <w:sz w:val="18"/>
                <w:szCs w:val="18"/>
              </w:rPr>
              <w:br/>
              <w:t>i ograniczeniami.</w:t>
            </w:r>
          </w:p>
        </w:tc>
        <w:tc>
          <w:tcPr>
            <w:tcW w:w="992" w:type="dxa"/>
          </w:tcPr>
          <w:p w:rsidR="001C3288" w:rsidRPr="00D95B99" w:rsidRDefault="001C3288" w:rsidP="00BD6C2D">
            <w:pPr>
              <w:spacing w:line="276" w:lineRule="auto"/>
              <w:jc w:val="center"/>
              <w:rPr>
                <w:sz w:val="20"/>
                <w:szCs w:val="20"/>
              </w:rPr>
            </w:pPr>
          </w:p>
          <w:p w:rsidR="00856AAF" w:rsidRPr="00D95B99" w:rsidRDefault="00856AAF" w:rsidP="00BD6C2D">
            <w:pPr>
              <w:spacing w:line="276" w:lineRule="auto"/>
              <w:jc w:val="center"/>
              <w:rPr>
                <w:sz w:val="20"/>
                <w:szCs w:val="20"/>
              </w:rPr>
            </w:pPr>
          </w:p>
          <w:p w:rsidR="00F3520D" w:rsidRPr="00D95B99" w:rsidRDefault="00856AAF" w:rsidP="00BD6C2D">
            <w:pPr>
              <w:spacing w:line="276" w:lineRule="auto"/>
              <w:jc w:val="center"/>
              <w:rPr>
                <w:sz w:val="20"/>
                <w:szCs w:val="20"/>
              </w:rPr>
            </w:pPr>
            <w:r w:rsidRPr="00D95B99">
              <w:rPr>
                <w:sz w:val="20"/>
                <w:szCs w:val="20"/>
              </w:rPr>
              <w:t>370,00</w:t>
            </w:r>
            <w:r w:rsidR="00F3520D" w:rsidRPr="00D95B99">
              <w:rPr>
                <w:sz w:val="20"/>
                <w:szCs w:val="20"/>
              </w:rPr>
              <w:t xml:space="preserve"> zł</w:t>
            </w:r>
          </w:p>
        </w:tc>
        <w:tc>
          <w:tcPr>
            <w:tcW w:w="1559" w:type="dxa"/>
          </w:tcPr>
          <w:p w:rsidR="001C3288" w:rsidRPr="00D95B99" w:rsidRDefault="001C3288" w:rsidP="00BD6C2D">
            <w:pPr>
              <w:spacing w:line="276" w:lineRule="auto"/>
              <w:jc w:val="center"/>
              <w:rPr>
                <w:sz w:val="20"/>
                <w:szCs w:val="20"/>
              </w:rPr>
            </w:pPr>
          </w:p>
          <w:p w:rsidR="00EE12F1" w:rsidRPr="00D95B99" w:rsidRDefault="00EE12F1" w:rsidP="00BD6C2D">
            <w:pPr>
              <w:spacing w:line="276" w:lineRule="auto"/>
              <w:jc w:val="center"/>
              <w:rPr>
                <w:sz w:val="20"/>
                <w:szCs w:val="20"/>
              </w:rPr>
            </w:pPr>
          </w:p>
          <w:p w:rsidR="00EE12F1" w:rsidRPr="00D95B99" w:rsidRDefault="00EE12F1" w:rsidP="00BD6C2D">
            <w:pPr>
              <w:spacing w:line="276" w:lineRule="auto"/>
              <w:jc w:val="center"/>
              <w:rPr>
                <w:sz w:val="20"/>
                <w:szCs w:val="20"/>
              </w:rPr>
            </w:pPr>
            <w:r w:rsidRPr="00D95B99">
              <w:rPr>
                <w:sz w:val="20"/>
                <w:szCs w:val="20"/>
              </w:rPr>
              <w:t>11.07.2024 r.</w:t>
            </w:r>
          </w:p>
          <w:p w:rsidR="00EE12F1" w:rsidRPr="00D95B99" w:rsidRDefault="00EE12F1" w:rsidP="00BD6C2D">
            <w:pPr>
              <w:spacing w:line="276" w:lineRule="auto"/>
              <w:jc w:val="center"/>
              <w:rPr>
                <w:sz w:val="20"/>
                <w:szCs w:val="20"/>
              </w:rPr>
            </w:pPr>
            <w:r w:rsidRPr="00D95B99">
              <w:rPr>
                <w:sz w:val="20"/>
                <w:szCs w:val="20"/>
              </w:rPr>
              <w:t>Godz.: 10:00</w:t>
            </w:r>
          </w:p>
        </w:tc>
      </w:tr>
      <w:tr w:rsidR="001C3288" w:rsidRPr="00FD7213" w:rsidTr="00BE2B68">
        <w:tc>
          <w:tcPr>
            <w:tcW w:w="568" w:type="dxa"/>
            <w:shd w:val="clear" w:color="auto" w:fill="D9D9D9" w:themeFill="background1" w:themeFillShade="D9"/>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sidRPr="00FD7213">
              <w:rPr>
                <w:sz w:val="20"/>
                <w:szCs w:val="20"/>
              </w:rPr>
              <w:lastRenderedPageBreak/>
              <w:t>4</w:t>
            </w:r>
          </w:p>
        </w:tc>
        <w:tc>
          <w:tcPr>
            <w:tcW w:w="567" w:type="dxa"/>
            <w:shd w:val="clear" w:color="auto" w:fill="auto"/>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lastRenderedPageBreak/>
              <w:t>52</w:t>
            </w:r>
          </w:p>
        </w:tc>
        <w:tc>
          <w:tcPr>
            <w:tcW w:w="1276" w:type="dxa"/>
            <w:shd w:val="clear" w:color="auto" w:fill="auto"/>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lastRenderedPageBreak/>
              <w:t>Małoszyce</w:t>
            </w:r>
          </w:p>
        </w:tc>
        <w:tc>
          <w:tcPr>
            <w:tcW w:w="992"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lastRenderedPageBreak/>
              <w:t>Nowa Wieś Lęborska</w:t>
            </w:r>
          </w:p>
        </w:tc>
        <w:tc>
          <w:tcPr>
            <w:tcW w:w="1134"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lastRenderedPageBreak/>
              <w:t>0.01</w:t>
            </w:r>
          </w:p>
        </w:tc>
        <w:tc>
          <w:tcPr>
            <w:tcW w:w="1701"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lastRenderedPageBreak/>
              <w:t>SL1L/00044657/3</w:t>
            </w:r>
          </w:p>
        </w:tc>
        <w:tc>
          <w:tcPr>
            <w:tcW w:w="1843"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856AAF">
            <w:pPr>
              <w:spacing w:line="360" w:lineRule="auto"/>
              <w:jc w:val="center"/>
              <w:rPr>
                <w:sz w:val="20"/>
                <w:szCs w:val="20"/>
              </w:rPr>
            </w:pPr>
            <w:r>
              <w:rPr>
                <w:sz w:val="20"/>
                <w:szCs w:val="20"/>
              </w:rPr>
              <w:lastRenderedPageBreak/>
              <w:t xml:space="preserve">2400 zł </w:t>
            </w:r>
            <w:r w:rsidR="002D1F5E">
              <w:rPr>
                <w:sz w:val="20"/>
                <w:szCs w:val="20"/>
              </w:rPr>
              <w:t>netto*</w:t>
            </w:r>
          </w:p>
        </w:tc>
        <w:tc>
          <w:tcPr>
            <w:tcW w:w="4678" w:type="dxa"/>
          </w:tcPr>
          <w:p w:rsidR="001C3288" w:rsidRPr="00550849" w:rsidRDefault="001C3288" w:rsidP="00D95B99">
            <w:pPr>
              <w:spacing w:line="276" w:lineRule="auto"/>
              <w:jc w:val="both"/>
              <w:rPr>
                <w:color w:val="000000" w:themeColor="text1"/>
                <w:sz w:val="18"/>
                <w:szCs w:val="18"/>
              </w:rPr>
            </w:pPr>
            <w:r w:rsidRPr="00550849">
              <w:rPr>
                <w:color w:val="000000" w:themeColor="text1"/>
                <w:sz w:val="18"/>
                <w:szCs w:val="18"/>
              </w:rPr>
              <w:lastRenderedPageBreak/>
              <w:t>Dla działki oznaczonej numerem 52 o pow. 0,01 ha, położonej w obrębie ewidencyjnym Małoszyce, gmina Nowa Wieś Lęborska:</w:t>
            </w:r>
            <w:r w:rsidR="00BE2B68">
              <w:rPr>
                <w:color w:val="000000" w:themeColor="text1"/>
                <w:sz w:val="18"/>
                <w:szCs w:val="18"/>
              </w:rPr>
              <w:t xml:space="preserve"> </w:t>
            </w:r>
            <w:r w:rsidRPr="00550849">
              <w:rPr>
                <w:color w:val="000000" w:themeColor="text1"/>
                <w:sz w:val="18"/>
                <w:szCs w:val="18"/>
              </w:rPr>
              <w:t xml:space="preserve">obowiązuje uchwała nr XXXIII/262 /13 Rady Gminy Nowa Wieś Lęborska z dnia 5 marca 2013 r. </w:t>
            </w:r>
            <w:r w:rsidRPr="00550849">
              <w:rPr>
                <w:color w:val="000000" w:themeColor="text1"/>
                <w:sz w:val="18"/>
                <w:szCs w:val="18"/>
              </w:rPr>
              <w:br/>
            </w:r>
            <w:r w:rsidRPr="00550849">
              <w:rPr>
                <w:color w:val="000000" w:themeColor="text1"/>
                <w:sz w:val="18"/>
                <w:szCs w:val="18"/>
              </w:rPr>
              <w:lastRenderedPageBreak/>
              <w:t>w sprawie: uchwalenia miejscowego planu zagospodarowania przestrzennego dla fragmentu miejscowości Małoszyce gmina Nowa Wieś Lęborska pod nazwą „Małoszyce – uzupełnienia”., według którego działka jest położona na terenie oznaczonym jako 1.5.2.E – infrastruktura energetyczna.</w:t>
            </w:r>
            <w:r w:rsidR="00D95B99">
              <w:rPr>
                <w:color w:val="000000" w:themeColor="text1"/>
                <w:sz w:val="18"/>
                <w:szCs w:val="18"/>
              </w:rPr>
              <w:t xml:space="preserve"> D</w:t>
            </w:r>
            <w:r w:rsidRPr="00550849">
              <w:rPr>
                <w:color w:val="000000" w:themeColor="text1"/>
                <w:sz w:val="18"/>
                <w:szCs w:val="18"/>
              </w:rPr>
              <w:t xml:space="preserve">la w/w działki nie zostały wydane warunki zabudowy. </w:t>
            </w:r>
            <w:r w:rsidR="00D95B99">
              <w:rPr>
                <w:color w:val="000000" w:themeColor="text1"/>
                <w:sz w:val="18"/>
                <w:szCs w:val="18"/>
              </w:rPr>
              <w:t>D</w:t>
            </w:r>
            <w:r w:rsidRPr="00550849">
              <w:rPr>
                <w:color w:val="000000" w:themeColor="text1"/>
                <w:sz w:val="18"/>
                <w:szCs w:val="18"/>
              </w:rPr>
              <w:t>la w/w nie</w:t>
            </w:r>
            <w:r w:rsidR="00D95B99">
              <w:rPr>
                <w:color w:val="000000" w:themeColor="text1"/>
                <w:sz w:val="18"/>
                <w:szCs w:val="18"/>
              </w:rPr>
              <w:t xml:space="preserve">ruchomości nie podjęto uchwały </w:t>
            </w:r>
            <w:r w:rsidRPr="00550849">
              <w:rPr>
                <w:color w:val="000000" w:themeColor="text1"/>
                <w:sz w:val="18"/>
                <w:szCs w:val="18"/>
              </w:rPr>
              <w:t xml:space="preserve">o wyznaczeniu obszaru zdegradowanego </w:t>
            </w:r>
            <w:r w:rsidR="00BE2B68">
              <w:rPr>
                <w:color w:val="000000" w:themeColor="text1"/>
                <w:sz w:val="18"/>
                <w:szCs w:val="18"/>
              </w:rPr>
              <w:br/>
            </w:r>
            <w:r w:rsidRPr="00550849">
              <w:rPr>
                <w:color w:val="000000" w:themeColor="text1"/>
                <w:sz w:val="18"/>
                <w:szCs w:val="18"/>
              </w:rPr>
              <w:t>i obszaru rewitalizacji.</w:t>
            </w:r>
            <w:r w:rsidR="00D95B99">
              <w:rPr>
                <w:color w:val="000000" w:themeColor="text1"/>
                <w:sz w:val="18"/>
                <w:szCs w:val="18"/>
              </w:rPr>
              <w:t xml:space="preserve"> </w:t>
            </w:r>
            <w:r w:rsidRPr="00550849">
              <w:rPr>
                <w:color w:val="000000" w:themeColor="text1"/>
                <w:sz w:val="18"/>
                <w:szCs w:val="18"/>
              </w:rPr>
              <w:t>Nieruchomość zabudowana: słup energetyczny i stacja transformatorowa.</w:t>
            </w:r>
            <w:r w:rsidR="00D95B99">
              <w:rPr>
                <w:color w:val="000000" w:themeColor="text1"/>
                <w:sz w:val="18"/>
                <w:szCs w:val="18"/>
              </w:rPr>
              <w:t xml:space="preserve"> </w:t>
            </w:r>
            <w:r w:rsidRPr="00550849">
              <w:rPr>
                <w:color w:val="000000" w:themeColor="text1"/>
                <w:sz w:val="18"/>
                <w:szCs w:val="18"/>
              </w:rPr>
              <w:t xml:space="preserve">Nieruchomość będąca przedmiotem sprzedaży nie jest obciążona </w:t>
            </w:r>
            <w:r w:rsidR="00D95B99">
              <w:rPr>
                <w:color w:val="000000" w:themeColor="text1"/>
                <w:sz w:val="18"/>
                <w:szCs w:val="18"/>
              </w:rPr>
              <w:t xml:space="preserve">hipoteką, ani innymi ciężarami </w:t>
            </w:r>
            <w:r w:rsidRPr="00550849">
              <w:rPr>
                <w:color w:val="000000" w:themeColor="text1"/>
                <w:sz w:val="18"/>
                <w:szCs w:val="18"/>
              </w:rPr>
              <w:t>i ograniczeniami.</w:t>
            </w:r>
          </w:p>
        </w:tc>
        <w:tc>
          <w:tcPr>
            <w:tcW w:w="992" w:type="dxa"/>
          </w:tcPr>
          <w:p w:rsidR="001C3288" w:rsidRPr="00D95B99" w:rsidRDefault="001C3288" w:rsidP="00BD6C2D">
            <w:pPr>
              <w:spacing w:line="276" w:lineRule="auto"/>
              <w:jc w:val="center"/>
              <w:rPr>
                <w:sz w:val="20"/>
                <w:szCs w:val="20"/>
              </w:rPr>
            </w:pPr>
          </w:p>
          <w:p w:rsidR="00F3520D" w:rsidRPr="00D95B99" w:rsidRDefault="00F3520D" w:rsidP="00BD6C2D">
            <w:pPr>
              <w:spacing w:line="276" w:lineRule="auto"/>
              <w:jc w:val="center"/>
              <w:rPr>
                <w:sz w:val="20"/>
                <w:szCs w:val="20"/>
              </w:rPr>
            </w:pPr>
          </w:p>
          <w:p w:rsidR="00F3520D" w:rsidRPr="00D95B99" w:rsidRDefault="00856AAF" w:rsidP="00BD6C2D">
            <w:pPr>
              <w:spacing w:line="276" w:lineRule="auto"/>
              <w:jc w:val="center"/>
              <w:rPr>
                <w:sz w:val="20"/>
                <w:szCs w:val="20"/>
              </w:rPr>
            </w:pPr>
            <w:r w:rsidRPr="00D95B99">
              <w:rPr>
                <w:sz w:val="20"/>
                <w:szCs w:val="20"/>
              </w:rPr>
              <w:t>24</w:t>
            </w:r>
            <w:r w:rsidR="00F3520D" w:rsidRPr="00D95B99">
              <w:rPr>
                <w:sz w:val="20"/>
                <w:szCs w:val="20"/>
              </w:rPr>
              <w:t>0</w:t>
            </w:r>
            <w:r w:rsidRPr="00D95B99">
              <w:rPr>
                <w:sz w:val="20"/>
                <w:szCs w:val="20"/>
              </w:rPr>
              <w:t>,00</w:t>
            </w:r>
            <w:r w:rsidR="00F3520D" w:rsidRPr="00D95B99">
              <w:rPr>
                <w:sz w:val="20"/>
                <w:szCs w:val="20"/>
              </w:rPr>
              <w:t xml:space="preserve"> zł</w:t>
            </w:r>
          </w:p>
        </w:tc>
        <w:tc>
          <w:tcPr>
            <w:tcW w:w="1559" w:type="dxa"/>
          </w:tcPr>
          <w:p w:rsidR="001C3288" w:rsidRPr="00D95B99" w:rsidRDefault="001C3288" w:rsidP="00BD6C2D">
            <w:pPr>
              <w:spacing w:line="276" w:lineRule="auto"/>
              <w:jc w:val="center"/>
              <w:rPr>
                <w:sz w:val="20"/>
                <w:szCs w:val="20"/>
              </w:rPr>
            </w:pPr>
          </w:p>
          <w:p w:rsidR="00EE12F1" w:rsidRPr="00D95B99" w:rsidRDefault="00EE12F1" w:rsidP="00BD6C2D">
            <w:pPr>
              <w:spacing w:line="276" w:lineRule="auto"/>
              <w:jc w:val="center"/>
              <w:rPr>
                <w:sz w:val="20"/>
                <w:szCs w:val="20"/>
              </w:rPr>
            </w:pPr>
          </w:p>
          <w:p w:rsidR="00EE12F1" w:rsidRPr="00D95B99" w:rsidRDefault="00EE12F1" w:rsidP="00BD6C2D">
            <w:pPr>
              <w:spacing w:line="276" w:lineRule="auto"/>
              <w:jc w:val="center"/>
              <w:rPr>
                <w:sz w:val="20"/>
                <w:szCs w:val="20"/>
              </w:rPr>
            </w:pPr>
            <w:r w:rsidRPr="00D95B99">
              <w:rPr>
                <w:sz w:val="20"/>
                <w:szCs w:val="20"/>
              </w:rPr>
              <w:t>11.07.2024 r.</w:t>
            </w:r>
          </w:p>
          <w:p w:rsidR="00EE12F1" w:rsidRPr="00D95B99" w:rsidRDefault="00EE12F1" w:rsidP="00BD6C2D">
            <w:pPr>
              <w:spacing w:line="276" w:lineRule="auto"/>
              <w:jc w:val="center"/>
              <w:rPr>
                <w:sz w:val="20"/>
                <w:szCs w:val="20"/>
              </w:rPr>
            </w:pPr>
            <w:r w:rsidRPr="00D95B99">
              <w:rPr>
                <w:sz w:val="20"/>
                <w:szCs w:val="20"/>
              </w:rPr>
              <w:lastRenderedPageBreak/>
              <w:t>Godz.: 10:30</w:t>
            </w:r>
          </w:p>
        </w:tc>
      </w:tr>
      <w:tr w:rsidR="001C3288" w:rsidRPr="00FD7213" w:rsidTr="00BE2B68">
        <w:tc>
          <w:tcPr>
            <w:tcW w:w="568" w:type="dxa"/>
            <w:shd w:val="clear" w:color="auto" w:fill="D9D9D9" w:themeFill="background1" w:themeFillShade="D9"/>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sidRPr="00FD7213">
              <w:rPr>
                <w:sz w:val="20"/>
                <w:szCs w:val="20"/>
              </w:rPr>
              <w:t>5</w:t>
            </w:r>
          </w:p>
        </w:tc>
        <w:tc>
          <w:tcPr>
            <w:tcW w:w="567" w:type="dxa"/>
            <w:shd w:val="clear" w:color="auto" w:fill="auto"/>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34</w:t>
            </w:r>
          </w:p>
        </w:tc>
        <w:tc>
          <w:tcPr>
            <w:tcW w:w="1276" w:type="dxa"/>
            <w:shd w:val="clear" w:color="auto" w:fill="auto"/>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Obliwice</w:t>
            </w:r>
          </w:p>
        </w:tc>
        <w:tc>
          <w:tcPr>
            <w:tcW w:w="992"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Nowa Wieś Lęborska</w:t>
            </w:r>
          </w:p>
        </w:tc>
        <w:tc>
          <w:tcPr>
            <w:tcW w:w="1134"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0.02</w:t>
            </w:r>
          </w:p>
        </w:tc>
        <w:tc>
          <w:tcPr>
            <w:tcW w:w="1701"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SL1L/00044650/4</w:t>
            </w:r>
          </w:p>
        </w:tc>
        <w:tc>
          <w:tcPr>
            <w:tcW w:w="1843"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2F0D18" w:rsidRDefault="001C3288" w:rsidP="00856AAF">
            <w:pPr>
              <w:spacing w:line="360" w:lineRule="auto"/>
              <w:jc w:val="center"/>
              <w:rPr>
                <w:sz w:val="18"/>
                <w:szCs w:val="18"/>
              </w:rPr>
            </w:pPr>
            <w:r>
              <w:rPr>
                <w:sz w:val="20"/>
                <w:szCs w:val="20"/>
              </w:rPr>
              <w:t xml:space="preserve">4300 zł </w:t>
            </w:r>
            <w:r w:rsidR="002D1F5E">
              <w:rPr>
                <w:sz w:val="20"/>
                <w:szCs w:val="20"/>
              </w:rPr>
              <w:t>netto*</w:t>
            </w:r>
          </w:p>
        </w:tc>
        <w:tc>
          <w:tcPr>
            <w:tcW w:w="4678" w:type="dxa"/>
          </w:tcPr>
          <w:p w:rsidR="001C3288" w:rsidRPr="00550849" w:rsidRDefault="001C3288" w:rsidP="00D95B99">
            <w:pPr>
              <w:spacing w:line="276" w:lineRule="auto"/>
              <w:jc w:val="both"/>
              <w:rPr>
                <w:color w:val="000000" w:themeColor="text1"/>
                <w:sz w:val="18"/>
                <w:szCs w:val="18"/>
              </w:rPr>
            </w:pPr>
            <w:r w:rsidRPr="00550849">
              <w:rPr>
                <w:color w:val="000000" w:themeColor="text1"/>
                <w:sz w:val="18"/>
                <w:szCs w:val="18"/>
              </w:rPr>
              <w:t xml:space="preserve">Dla działki oznaczonej numerem 34 o pow. 0,02 ha, położonej </w:t>
            </w:r>
            <w:r w:rsidRPr="00550849">
              <w:rPr>
                <w:color w:val="000000" w:themeColor="text1"/>
                <w:sz w:val="18"/>
                <w:szCs w:val="18"/>
              </w:rPr>
              <w:br/>
              <w:t>w obrębie ewidencyjnym Obliwice, gmina Nowa Wieś Lęborska obowiązuje uchwała nr XVI/141/16</w:t>
            </w:r>
            <w:r w:rsidR="00BE2B68">
              <w:rPr>
                <w:color w:val="000000" w:themeColor="text1"/>
                <w:sz w:val="18"/>
                <w:szCs w:val="18"/>
              </w:rPr>
              <w:t xml:space="preserve"> Rady Gminy Nowa Wieś Lęborska </w:t>
            </w:r>
            <w:r w:rsidRPr="00550849">
              <w:rPr>
                <w:color w:val="000000" w:themeColor="text1"/>
                <w:sz w:val="18"/>
                <w:szCs w:val="18"/>
              </w:rPr>
              <w:t xml:space="preserve">z dnia 10 marca 2016 roku w sprawie uchwalenia miejscowego planu zagospodarowania przestrzennego dla fragmentu obrębu: Obliwice, Łebień, Wilkowo Nowowiejskie, Rekowo Lęborskie, Karlikowo Lęborskie, Tawęcino w gminie Nowa Wieś Lęborska pod nazwą "Obliwice- Wiatraki" według której w/w działka znajduje się na obszarze oznaczonym jako 2.3.1.UR- gospodarstwo rolne. Dla w/w nieruchomości nie podjęto uchwały o wyznaczeniu obszaru zdegradowanego </w:t>
            </w:r>
            <w:r w:rsidR="00BE2B68">
              <w:rPr>
                <w:color w:val="000000" w:themeColor="text1"/>
                <w:sz w:val="18"/>
                <w:szCs w:val="18"/>
              </w:rPr>
              <w:br/>
            </w:r>
            <w:r w:rsidRPr="00550849">
              <w:rPr>
                <w:color w:val="000000" w:themeColor="text1"/>
                <w:sz w:val="18"/>
                <w:szCs w:val="18"/>
              </w:rPr>
              <w:t>i obszaru rewitalizacji.</w:t>
            </w:r>
            <w:r w:rsidR="00BE2B68">
              <w:rPr>
                <w:color w:val="000000" w:themeColor="text1"/>
                <w:sz w:val="18"/>
                <w:szCs w:val="18"/>
              </w:rPr>
              <w:t xml:space="preserve"> </w:t>
            </w:r>
            <w:r w:rsidRPr="00550849">
              <w:rPr>
                <w:color w:val="000000" w:themeColor="text1"/>
                <w:sz w:val="18"/>
                <w:szCs w:val="18"/>
              </w:rPr>
              <w:t>Nieruchomość zabudowana: słup energetyczny.</w:t>
            </w:r>
            <w:r w:rsidR="00BE2B68">
              <w:rPr>
                <w:color w:val="000000" w:themeColor="text1"/>
                <w:sz w:val="18"/>
                <w:szCs w:val="18"/>
              </w:rPr>
              <w:t xml:space="preserve"> </w:t>
            </w:r>
            <w:r w:rsidRPr="00550849">
              <w:rPr>
                <w:color w:val="000000" w:themeColor="text1"/>
                <w:sz w:val="18"/>
                <w:szCs w:val="18"/>
              </w:rPr>
              <w:t>Nieruchomość będąca przedmiotem sprzedaży nie jest obciążona h</w:t>
            </w:r>
            <w:r w:rsidR="00BE2B68">
              <w:rPr>
                <w:color w:val="000000" w:themeColor="text1"/>
                <w:sz w:val="18"/>
                <w:szCs w:val="18"/>
              </w:rPr>
              <w:t xml:space="preserve">ipoteką, ani innymi ciężarami </w:t>
            </w:r>
            <w:r w:rsidR="00BE2B68">
              <w:rPr>
                <w:color w:val="000000" w:themeColor="text1"/>
                <w:sz w:val="18"/>
                <w:szCs w:val="18"/>
              </w:rPr>
              <w:br/>
              <w:t xml:space="preserve">i </w:t>
            </w:r>
            <w:r w:rsidRPr="00550849">
              <w:rPr>
                <w:color w:val="000000" w:themeColor="text1"/>
                <w:sz w:val="18"/>
                <w:szCs w:val="18"/>
              </w:rPr>
              <w:t>ograniczeniami.</w:t>
            </w:r>
          </w:p>
        </w:tc>
        <w:tc>
          <w:tcPr>
            <w:tcW w:w="992" w:type="dxa"/>
          </w:tcPr>
          <w:p w:rsidR="001C3288" w:rsidRPr="00D95B99" w:rsidRDefault="001C3288" w:rsidP="00BD6C2D">
            <w:pPr>
              <w:spacing w:line="276" w:lineRule="auto"/>
              <w:jc w:val="center"/>
              <w:rPr>
                <w:sz w:val="20"/>
                <w:szCs w:val="20"/>
              </w:rPr>
            </w:pPr>
          </w:p>
          <w:p w:rsidR="00F3520D" w:rsidRPr="00D95B99" w:rsidRDefault="00F3520D" w:rsidP="00BD6C2D">
            <w:pPr>
              <w:spacing w:line="276" w:lineRule="auto"/>
              <w:jc w:val="center"/>
              <w:rPr>
                <w:sz w:val="20"/>
                <w:szCs w:val="20"/>
              </w:rPr>
            </w:pPr>
          </w:p>
          <w:p w:rsidR="00F3520D" w:rsidRPr="00D95B99" w:rsidRDefault="00F3520D" w:rsidP="00BD6C2D">
            <w:pPr>
              <w:spacing w:line="276" w:lineRule="auto"/>
              <w:jc w:val="center"/>
              <w:rPr>
                <w:sz w:val="20"/>
                <w:szCs w:val="20"/>
              </w:rPr>
            </w:pPr>
            <w:r w:rsidRPr="00D95B99">
              <w:rPr>
                <w:sz w:val="20"/>
                <w:szCs w:val="20"/>
              </w:rPr>
              <w:t>430,00 zł</w:t>
            </w:r>
          </w:p>
        </w:tc>
        <w:tc>
          <w:tcPr>
            <w:tcW w:w="1559" w:type="dxa"/>
          </w:tcPr>
          <w:p w:rsidR="001C3288" w:rsidRPr="00D95B99" w:rsidRDefault="001C3288" w:rsidP="00BD6C2D">
            <w:pPr>
              <w:spacing w:line="276" w:lineRule="auto"/>
              <w:jc w:val="center"/>
              <w:rPr>
                <w:sz w:val="20"/>
                <w:szCs w:val="20"/>
              </w:rPr>
            </w:pPr>
          </w:p>
          <w:p w:rsidR="00EE12F1" w:rsidRPr="00D95B99" w:rsidRDefault="00EE12F1" w:rsidP="00BD6C2D">
            <w:pPr>
              <w:spacing w:line="276" w:lineRule="auto"/>
              <w:jc w:val="center"/>
              <w:rPr>
                <w:sz w:val="20"/>
                <w:szCs w:val="20"/>
              </w:rPr>
            </w:pPr>
          </w:p>
          <w:p w:rsidR="00EE12F1" w:rsidRPr="00D95B99" w:rsidRDefault="00EE12F1" w:rsidP="00BD6C2D">
            <w:pPr>
              <w:spacing w:line="276" w:lineRule="auto"/>
              <w:jc w:val="center"/>
              <w:rPr>
                <w:sz w:val="20"/>
                <w:szCs w:val="20"/>
              </w:rPr>
            </w:pPr>
            <w:r w:rsidRPr="00D95B99">
              <w:rPr>
                <w:sz w:val="20"/>
                <w:szCs w:val="20"/>
              </w:rPr>
              <w:t>11.07.2024 r.</w:t>
            </w:r>
          </w:p>
          <w:p w:rsidR="00EE12F1" w:rsidRPr="00D95B99" w:rsidRDefault="00EE12F1" w:rsidP="00BD6C2D">
            <w:pPr>
              <w:spacing w:line="276" w:lineRule="auto"/>
              <w:jc w:val="center"/>
              <w:rPr>
                <w:sz w:val="20"/>
                <w:szCs w:val="20"/>
              </w:rPr>
            </w:pPr>
            <w:r w:rsidRPr="00D95B99">
              <w:rPr>
                <w:sz w:val="20"/>
                <w:szCs w:val="20"/>
              </w:rPr>
              <w:t>Godz.: 11:00</w:t>
            </w:r>
          </w:p>
        </w:tc>
      </w:tr>
      <w:tr w:rsidR="001C3288" w:rsidRPr="00FD7213" w:rsidTr="00BE2B68">
        <w:tc>
          <w:tcPr>
            <w:tcW w:w="568" w:type="dxa"/>
            <w:shd w:val="clear" w:color="auto" w:fill="D9D9D9" w:themeFill="background1" w:themeFillShade="D9"/>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sidRPr="00FD7213">
              <w:rPr>
                <w:sz w:val="20"/>
                <w:szCs w:val="20"/>
              </w:rPr>
              <w:t>6</w:t>
            </w:r>
          </w:p>
        </w:tc>
        <w:tc>
          <w:tcPr>
            <w:tcW w:w="567" w:type="dxa"/>
            <w:shd w:val="clear" w:color="auto" w:fill="auto"/>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306</w:t>
            </w:r>
          </w:p>
        </w:tc>
        <w:tc>
          <w:tcPr>
            <w:tcW w:w="1276" w:type="dxa"/>
            <w:shd w:val="clear" w:color="auto" w:fill="auto"/>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Wojciechowo</w:t>
            </w:r>
          </w:p>
        </w:tc>
        <w:tc>
          <w:tcPr>
            <w:tcW w:w="992"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Wicko</w:t>
            </w:r>
          </w:p>
        </w:tc>
        <w:tc>
          <w:tcPr>
            <w:tcW w:w="1134"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0.01</w:t>
            </w:r>
          </w:p>
        </w:tc>
        <w:tc>
          <w:tcPr>
            <w:tcW w:w="1701"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BD6C2D">
            <w:pPr>
              <w:spacing w:line="360" w:lineRule="auto"/>
              <w:jc w:val="center"/>
              <w:rPr>
                <w:sz w:val="20"/>
                <w:szCs w:val="20"/>
              </w:rPr>
            </w:pPr>
            <w:r>
              <w:rPr>
                <w:sz w:val="20"/>
                <w:szCs w:val="20"/>
              </w:rPr>
              <w:t>SL1L/00041119/9</w:t>
            </w:r>
          </w:p>
        </w:tc>
        <w:tc>
          <w:tcPr>
            <w:tcW w:w="1843" w:type="dxa"/>
          </w:tcPr>
          <w:p w:rsidR="001C3288" w:rsidRDefault="001C3288" w:rsidP="00BD6C2D">
            <w:pPr>
              <w:spacing w:line="360" w:lineRule="auto"/>
              <w:jc w:val="center"/>
              <w:rPr>
                <w:sz w:val="20"/>
                <w:szCs w:val="20"/>
              </w:rPr>
            </w:pPr>
          </w:p>
          <w:p w:rsidR="001C3288" w:rsidRDefault="001C3288" w:rsidP="00BD6C2D">
            <w:pPr>
              <w:spacing w:line="360" w:lineRule="auto"/>
              <w:jc w:val="center"/>
              <w:rPr>
                <w:sz w:val="20"/>
                <w:szCs w:val="20"/>
              </w:rPr>
            </w:pPr>
          </w:p>
          <w:p w:rsidR="001C3288" w:rsidRPr="00FD7213" w:rsidRDefault="001C3288" w:rsidP="00856AAF">
            <w:pPr>
              <w:spacing w:line="360" w:lineRule="auto"/>
              <w:jc w:val="center"/>
              <w:rPr>
                <w:sz w:val="20"/>
                <w:szCs w:val="20"/>
              </w:rPr>
            </w:pPr>
            <w:r>
              <w:rPr>
                <w:sz w:val="20"/>
                <w:szCs w:val="20"/>
              </w:rPr>
              <w:t xml:space="preserve">2200zł </w:t>
            </w:r>
            <w:r w:rsidR="002D1F5E">
              <w:rPr>
                <w:sz w:val="20"/>
                <w:szCs w:val="20"/>
              </w:rPr>
              <w:t>netto*</w:t>
            </w:r>
          </w:p>
        </w:tc>
        <w:tc>
          <w:tcPr>
            <w:tcW w:w="4678" w:type="dxa"/>
          </w:tcPr>
          <w:p w:rsidR="001C3288" w:rsidRPr="00550849" w:rsidRDefault="001C3288" w:rsidP="00BE2B68">
            <w:pPr>
              <w:spacing w:line="276" w:lineRule="auto"/>
              <w:jc w:val="both"/>
              <w:rPr>
                <w:color w:val="000000" w:themeColor="text1"/>
                <w:sz w:val="18"/>
                <w:szCs w:val="18"/>
              </w:rPr>
            </w:pPr>
            <w:r w:rsidRPr="00550849">
              <w:rPr>
                <w:color w:val="000000" w:themeColor="text1"/>
                <w:sz w:val="18"/>
                <w:szCs w:val="18"/>
              </w:rPr>
              <w:t>Działka oznaczona numerem 306, położona w obrębie Wojciechowo gmina Wicko nie jest objęta miejscowym planem za</w:t>
            </w:r>
            <w:r w:rsidR="00BE2B68">
              <w:rPr>
                <w:color w:val="000000" w:themeColor="text1"/>
                <w:sz w:val="18"/>
                <w:szCs w:val="18"/>
              </w:rPr>
              <w:t xml:space="preserve">gospodarowania przestrzennego. </w:t>
            </w:r>
            <w:r w:rsidRPr="00550849">
              <w:rPr>
                <w:color w:val="000000" w:themeColor="text1"/>
                <w:sz w:val="18"/>
                <w:szCs w:val="18"/>
              </w:rPr>
              <w:t>W obo</w:t>
            </w:r>
            <w:r w:rsidR="00BE2B68">
              <w:rPr>
                <w:color w:val="000000" w:themeColor="text1"/>
                <w:sz w:val="18"/>
                <w:szCs w:val="18"/>
              </w:rPr>
              <w:t xml:space="preserve">wiązującym Studium Uwarunkowań </w:t>
            </w:r>
            <w:r w:rsidRPr="00550849">
              <w:rPr>
                <w:color w:val="000000" w:themeColor="text1"/>
                <w:sz w:val="18"/>
                <w:szCs w:val="18"/>
              </w:rPr>
              <w:t xml:space="preserve">i Kierunków Zagospodarowania Przestrzennego Gminy Wicko zatwierdzonym Uchwałą Nr XVIII/67/2016 Rady Gminy Wicko z dnia 28 czerwca 2016 roku </w:t>
            </w:r>
            <w:r w:rsidRPr="00550849">
              <w:rPr>
                <w:color w:val="000000" w:themeColor="text1"/>
                <w:sz w:val="18"/>
                <w:szCs w:val="18"/>
              </w:rPr>
              <w:br/>
              <w:t>z późn. zm. dla w/w działki przyjęto jako- obszary uzupełnień zabudow</w:t>
            </w:r>
            <w:r w:rsidR="00BE2B68">
              <w:rPr>
                <w:color w:val="000000" w:themeColor="text1"/>
                <w:sz w:val="18"/>
                <w:szCs w:val="18"/>
              </w:rPr>
              <w:t xml:space="preserve">y w ośrodkach produkcji rolnej </w:t>
            </w:r>
            <w:r w:rsidRPr="00550849">
              <w:rPr>
                <w:color w:val="000000" w:themeColor="text1"/>
                <w:sz w:val="18"/>
                <w:szCs w:val="18"/>
              </w:rPr>
              <w:t xml:space="preserve">i przetwórstwa rolno- spożywczego i obsługi rolnictwa oraz teren zabudowy zagrodowej. Dla w/w nieruchomości nie podjęto uchwały </w:t>
            </w:r>
            <w:r w:rsidR="00BE2B68">
              <w:rPr>
                <w:color w:val="000000" w:themeColor="text1"/>
                <w:sz w:val="18"/>
                <w:szCs w:val="18"/>
              </w:rPr>
              <w:br/>
            </w:r>
            <w:r w:rsidRPr="00550849">
              <w:rPr>
                <w:color w:val="000000" w:themeColor="text1"/>
                <w:sz w:val="18"/>
                <w:szCs w:val="18"/>
              </w:rPr>
              <w:t>w sprawie objęc</w:t>
            </w:r>
            <w:r w:rsidR="00BE2B68">
              <w:rPr>
                <w:color w:val="000000" w:themeColor="text1"/>
                <w:sz w:val="18"/>
                <w:szCs w:val="18"/>
              </w:rPr>
              <w:t xml:space="preserve">ia jej obszarem rewitalizacji, </w:t>
            </w:r>
            <w:r w:rsidRPr="00550849">
              <w:rPr>
                <w:color w:val="000000" w:themeColor="text1"/>
                <w:sz w:val="18"/>
                <w:szCs w:val="18"/>
              </w:rPr>
              <w:t xml:space="preserve">o której mowa </w:t>
            </w:r>
            <w:r w:rsidR="00BE2B68">
              <w:rPr>
                <w:color w:val="000000" w:themeColor="text1"/>
                <w:sz w:val="18"/>
                <w:szCs w:val="18"/>
              </w:rPr>
              <w:br/>
            </w:r>
            <w:r w:rsidRPr="00550849">
              <w:rPr>
                <w:color w:val="000000" w:themeColor="text1"/>
                <w:sz w:val="18"/>
                <w:szCs w:val="18"/>
              </w:rPr>
              <w:t>w art.</w:t>
            </w:r>
            <w:r w:rsidR="00BE2B68">
              <w:rPr>
                <w:color w:val="000000" w:themeColor="text1"/>
                <w:sz w:val="18"/>
                <w:szCs w:val="18"/>
              </w:rPr>
              <w:t xml:space="preserve"> 8 ustawy z dnia 09.10.2015 r. </w:t>
            </w:r>
            <w:r w:rsidRPr="00550849">
              <w:rPr>
                <w:color w:val="000000" w:themeColor="text1"/>
                <w:sz w:val="18"/>
                <w:szCs w:val="18"/>
              </w:rPr>
              <w:t xml:space="preserve">o rewitalizacji (t.j. Dz.U. </w:t>
            </w:r>
            <w:r w:rsidR="00BE2B68">
              <w:rPr>
                <w:color w:val="000000" w:themeColor="text1"/>
                <w:sz w:val="18"/>
                <w:szCs w:val="18"/>
              </w:rPr>
              <w:br/>
            </w:r>
            <w:bookmarkStart w:id="0" w:name="_GoBack"/>
            <w:bookmarkEnd w:id="0"/>
            <w:r w:rsidRPr="00550849">
              <w:rPr>
                <w:color w:val="000000" w:themeColor="text1"/>
                <w:sz w:val="18"/>
                <w:szCs w:val="18"/>
              </w:rPr>
              <w:t>z 2021 r. poz. 485 z późn. zm.). Dla w/w działki nie została wydana decyzja o warunkach zabudowy.</w:t>
            </w:r>
            <w:r w:rsidR="00BE2B68">
              <w:rPr>
                <w:color w:val="000000" w:themeColor="text1"/>
                <w:sz w:val="18"/>
                <w:szCs w:val="18"/>
              </w:rPr>
              <w:t xml:space="preserve"> </w:t>
            </w:r>
            <w:r w:rsidRPr="00550849">
              <w:rPr>
                <w:color w:val="000000" w:themeColor="text1"/>
                <w:sz w:val="18"/>
                <w:szCs w:val="18"/>
              </w:rPr>
              <w:t>Nieruchomość zabudowana: słup energetyczny i stacja transformatorowa.</w:t>
            </w:r>
            <w:r w:rsidR="00BE2B68">
              <w:rPr>
                <w:color w:val="000000" w:themeColor="text1"/>
                <w:sz w:val="18"/>
                <w:szCs w:val="18"/>
              </w:rPr>
              <w:t xml:space="preserve"> </w:t>
            </w:r>
            <w:r w:rsidRPr="00550849">
              <w:rPr>
                <w:color w:val="000000" w:themeColor="text1"/>
                <w:sz w:val="18"/>
                <w:szCs w:val="18"/>
              </w:rPr>
              <w:t xml:space="preserve">Nieruchomość będąca przedmiotem sprzedaży nie jest obciążona </w:t>
            </w:r>
            <w:r w:rsidR="00BE2B68">
              <w:rPr>
                <w:color w:val="000000" w:themeColor="text1"/>
                <w:sz w:val="18"/>
                <w:szCs w:val="18"/>
              </w:rPr>
              <w:t xml:space="preserve">hipoteką, ani innymi ciężarami </w:t>
            </w:r>
            <w:r w:rsidRPr="00550849">
              <w:rPr>
                <w:color w:val="000000" w:themeColor="text1"/>
                <w:sz w:val="18"/>
                <w:szCs w:val="18"/>
              </w:rPr>
              <w:t>i ograniczeniami.</w:t>
            </w:r>
          </w:p>
        </w:tc>
        <w:tc>
          <w:tcPr>
            <w:tcW w:w="992" w:type="dxa"/>
          </w:tcPr>
          <w:p w:rsidR="001C3288" w:rsidRPr="00D95B99" w:rsidRDefault="001C3288" w:rsidP="00BD6C2D">
            <w:pPr>
              <w:spacing w:line="276" w:lineRule="auto"/>
              <w:jc w:val="center"/>
              <w:rPr>
                <w:sz w:val="20"/>
                <w:szCs w:val="20"/>
              </w:rPr>
            </w:pPr>
          </w:p>
          <w:p w:rsidR="00F3520D" w:rsidRPr="00D95B99" w:rsidRDefault="00F3520D" w:rsidP="00BD6C2D">
            <w:pPr>
              <w:spacing w:line="276" w:lineRule="auto"/>
              <w:jc w:val="center"/>
              <w:rPr>
                <w:sz w:val="20"/>
                <w:szCs w:val="20"/>
              </w:rPr>
            </w:pPr>
          </w:p>
          <w:p w:rsidR="00F3520D" w:rsidRPr="00D95B99" w:rsidRDefault="00F3520D" w:rsidP="00BD6C2D">
            <w:pPr>
              <w:spacing w:line="276" w:lineRule="auto"/>
              <w:jc w:val="center"/>
              <w:rPr>
                <w:sz w:val="20"/>
                <w:szCs w:val="20"/>
              </w:rPr>
            </w:pPr>
          </w:p>
          <w:p w:rsidR="00F3520D" w:rsidRPr="00D95B99" w:rsidRDefault="00F3520D" w:rsidP="00BD6C2D">
            <w:pPr>
              <w:spacing w:line="276" w:lineRule="auto"/>
              <w:jc w:val="center"/>
              <w:rPr>
                <w:sz w:val="20"/>
                <w:szCs w:val="20"/>
              </w:rPr>
            </w:pPr>
            <w:r w:rsidRPr="00D95B99">
              <w:rPr>
                <w:sz w:val="20"/>
                <w:szCs w:val="20"/>
              </w:rPr>
              <w:t>220,00 zł</w:t>
            </w:r>
          </w:p>
        </w:tc>
        <w:tc>
          <w:tcPr>
            <w:tcW w:w="1559" w:type="dxa"/>
          </w:tcPr>
          <w:p w:rsidR="001C3288" w:rsidRPr="00D95B99" w:rsidRDefault="001C3288" w:rsidP="00BD6C2D">
            <w:pPr>
              <w:spacing w:line="276" w:lineRule="auto"/>
              <w:jc w:val="center"/>
              <w:rPr>
                <w:sz w:val="20"/>
                <w:szCs w:val="20"/>
              </w:rPr>
            </w:pPr>
          </w:p>
          <w:p w:rsidR="00EE12F1" w:rsidRPr="00D95B99" w:rsidRDefault="00EE12F1" w:rsidP="00BD6C2D">
            <w:pPr>
              <w:spacing w:line="276" w:lineRule="auto"/>
              <w:jc w:val="center"/>
              <w:rPr>
                <w:sz w:val="20"/>
                <w:szCs w:val="20"/>
              </w:rPr>
            </w:pPr>
          </w:p>
          <w:p w:rsidR="00EE12F1" w:rsidRPr="00D95B99" w:rsidRDefault="00EE12F1" w:rsidP="00BD6C2D">
            <w:pPr>
              <w:spacing w:line="276" w:lineRule="auto"/>
              <w:jc w:val="center"/>
              <w:rPr>
                <w:sz w:val="20"/>
                <w:szCs w:val="20"/>
              </w:rPr>
            </w:pPr>
          </w:p>
          <w:p w:rsidR="00EE12F1" w:rsidRPr="00D95B99" w:rsidRDefault="00EE12F1" w:rsidP="00BD6C2D">
            <w:pPr>
              <w:spacing w:line="276" w:lineRule="auto"/>
              <w:jc w:val="center"/>
              <w:rPr>
                <w:sz w:val="20"/>
                <w:szCs w:val="20"/>
              </w:rPr>
            </w:pPr>
            <w:r w:rsidRPr="00D95B99">
              <w:rPr>
                <w:sz w:val="20"/>
                <w:szCs w:val="20"/>
              </w:rPr>
              <w:t>11.07.2024 r.</w:t>
            </w:r>
          </w:p>
          <w:p w:rsidR="00EE12F1" w:rsidRPr="00D95B99" w:rsidRDefault="009D6088" w:rsidP="00BD6C2D">
            <w:pPr>
              <w:spacing w:line="276" w:lineRule="auto"/>
              <w:jc w:val="center"/>
              <w:rPr>
                <w:sz w:val="20"/>
                <w:szCs w:val="20"/>
              </w:rPr>
            </w:pPr>
            <w:r w:rsidRPr="00D95B99">
              <w:rPr>
                <w:sz w:val="20"/>
                <w:szCs w:val="20"/>
              </w:rPr>
              <w:t>Godz.: 11:30</w:t>
            </w:r>
          </w:p>
        </w:tc>
      </w:tr>
    </w:tbl>
    <w:p w:rsidR="00D63350" w:rsidRDefault="00D63350" w:rsidP="00D63350">
      <w:pPr>
        <w:pStyle w:val="Akapitzlist"/>
        <w:jc w:val="both"/>
        <w:rPr>
          <w:sz w:val="20"/>
          <w:szCs w:val="20"/>
        </w:rPr>
      </w:pPr>
      <w:r>
        <w:lastRenderedPageBreak/>
        <w:t>*</w:t>
      </w:r>
      <w:r>
        <w:rPr>
          <w:sz w:val="20"/>
          <w:szCs w:val="20"/>
          <w:vertAlign w:val="superscript"/>
        </w:rPr>
        <w:t xml:space="preserve"> </w:t>
      </w:r>
      <w:r>
        <w:rPr>
          <w:sz w:val="20"/>
          <w:szCs w:val="20"/>
        </w:rPr>
        <w:t>cena sprzedaży nie obejmuje należności podatkowych, które wprowadziła z dniem 1 maja 2004 roku ustawa z dnia 11 marca 2004 r. o podatku od towarów i usług /t.j. Dz.U z 2024 r. poz. 361/. Do ceny sprzedaży netto zostanie doliczony obowiązujący w dniu sprzedaży podatek VAT. Stawka podatku obowiązująca w dniu sporządzenia niniejszego ogłoszenia wynosi 23%.</w:t>
      </w:r>
    </w:p>
    <w:p w:rsidR="00B26C41" w:rsidRDefault="002E31FA" w:rsidP="00B26C41">
      <w:pPr>
        <w:pStyle w:val="Tekstpodstawowywcity2"/>
        <w:spacing w:after="240"/>
        <w:ind w:left="284" w:firstLine="0"/>
      </w:pPr>
      <w:r>
        <w:t xml:space="preserve"> </w:t>
      </w:r>
    </w:p>
    <w:p w:rsidR="00626AD8" w:rsidRPr="00626AD8" w:rsidRDefault="00043043" w:rsidP="004828E7">
      <w:pPr>
        <w:pStyle w:val="Akapitzlist"/>
        <w:numPr>
          <w:ilvl w:val="0"/>
          <w:numId w:val="6"/>
        </w:numPr>
        <w:spacing w:before="240" w:after="240"/>
        <w:jc w:val="both"/>
      </w:pPr>
      <w:r w:rsidRPr="00626AD8">
        <w:t>Warunkiem uczestnictwa w</w:t>
      </w:r>
      <w:r w:rsidR="004828E7">
        <w:t xml:space="preserve"> przetargu jest wpłata </w:t>
      </w:r>
      <w:r w:rsidR="004828E7" w:rsidRPr="002A31AC">
        <w:rPr>
          <w:color w:val="000000" w:themeColor="text1"/>
        </w:rPr>
        <w:t>wadium (</w:t>
      </w:r>
      <w:r w:rsidRPr="002A31AC">
        <w:rPr>
          <w:color w:val="000000" w:themeColor="text1"/>
        </w:rPr>
        <w:t>wysokości</w:t>
      </w:r>
      <w:r w:rsidR="004828E7" w:rsidRPr="002A31AC">
        <w:rPr>
          <w:color w:val="000000" w:themeColor="text1"/>
        </w:rPr>
        <w:t xml:space="preserve"> podane w tabeli</w:t>
      </w:r>
      <w:r w:rsidRPr="002A31AC">
        <w:rPr>
          <w:color w:val="000000" w:themeColor="text1"/>
        </w:rPr>
        <w:t>),</w:t>
      </w:r>
      <w:r w:rsidRPr="00626AD8">
        <w:t xml:space="preserve"> które należy </w:t>
      </w:r>
      <w:r w:rsidR="002F3B2F" w:rsidRPr="00626AD8">
        <w:t>wpłacić w pieniądzu na konto: Starostwo Powiatowe</w:t>
      </w:r>
      <w:r w:rsidRPr="00626AD8">
        <w:t xml:space="preserve"> </w:t>
      </w:r>
      <w:r w:rsidR="002F3B2F" w:rsidRPr="00626AD8">
        <w:t xml:space="preserve">w Lęborku, Bank </w:t>
      </w:r>
      <w:r w:rsidR="004828E7">
        <w:t xml:space="preserve">Rumia Spółdzielczy w </w:t>
      </w:r>
      <w:proofErr w:type="spellStart"/>
      <w:r w:rsidR="004828E7">
        <w:t>Rumi</w:t>
      </w:r>
      <w:proofErr w:type="spellEnd"/>
      <w:r w:rsidR="002F3B2F" w:rsidRPr="00626AD8">
        <w:t xml:space="preserve">, </w:t>
      </w:r>
      <w:r w:rsidRPr="00626AD8">
        <w:t>n</w:t>
      </w:r>
      <w:r w:rsidR="002F3B2F" w:rsidRPr="00626AD8">
        <w:t xml:space="preserve">r </w:t>
      </w:r>
      <w:r w:rsidRPr="00626AD8">
        <w:t>77 9324 0008 0002 8701 2000 0090</w:t>
      </w:r>
      <w:r w:rsidR="002F3B2F" w:rsidRPr="00626AD8">
        <w:t xml:space="preserve"> najp</w:t>
      </w:r>
      <w:r w:rsidR="002F3B2F" w:rsidRPr="004828E7">
        <w:rPr>
          <w:rFonts w:cs="Garamond"/>
        </w:rPr>
        <w:t>ó</w:t>
      </w:r>
      <w:r w:rsidR="002F3B2F" w:rsidRPr="00626AD8">
        <w:t xml:space="preserve">źniej </w:t>
      </w:r>
      <w:r w:rsidR="002F3B2F" w:rsidRPr="00D95B99">
        <w:rPr>
          <w:u w:val="single"/>
        </w:rPr>
        <w:t>do dnia</w:t>
      </w:r>
      <w:r w:rsidR="00D95B99" w:rsidRPr="00D95B99">
        <w:rPr>
          <w:u w:val="single"/>
        </w:rPr>
        <w:t xml:space="preserve"> 04.07.</w:t>
      </w:r>
      <w:r w:rsidR="004828E7" w:rsidRPr="00D95B99">
        <w:rPr>
          <w:u w:val="single"/>
        </w:rPr>
        <w:t>2024 r</w:t>
      </w:r>
      <w:r w:rsidR="002F3B2F" w:rsidRPr="00D95B99">
        <w:rPr>
          <w:u w:val="single"/>
        </w:rPr>
        <w:t>.</w:t>
      </w:r>
      <w:r w:rsidR="002F3B2F" w:rsidRPr="00626AD8">
        <w:t xml:space="preserve"> Środki pieniężne muszą wpłynąć na rachunek bankowy najp</w:t>
      </w:r>
      <w:r w:rsidR="002F3B2F" w:rsidRPr="004828E7">
        <w:rPr>
          <w:rFonts w:cs="Garamond"/>
        </w:rPr>
        <w:t>ó</w:t>
      </w:r>
      <w:r w:rsidR="002F3B2F" w:rsidRPr="00626AD8">
        <w:t xml:space="preserve">źniej </w:t>
      </w:r>
      <w:r w:rsidR="00D95B99" w:rsidRPr="00D95B99">
        <w:t>w dniu 04.07.2024 r</w:t>
      </w:r>
      <w:r w:rsidR="004828E7" w:rsidRPr="00D95B99">
        <w:t>.</w:t>
      </w:r>
      <w:r w:rsidR="002F3B2F" w:rsidRPr="00626AD8">
        <w:t xml:space="preserve"> pod rygorem uznania przez organizatora przetargu, </w:t>
      </w:r>
      <w:r w:rsidR="00FB2E6C">
        <w:br/>
      </w:r>
      <w:r w:rsidR="002F3B2F" w:rsidRPr="00626AD8">
        <w:t>że warunek wpłaty ni</w:t>
      </w:r>
      <w:r w:rsidRPr="00626AD8">
        <w:t>e został spełniony.</w:t>
      </w:r>
      <w:r w:rsidR="00E35722">
        <w:t xml:space="preserve"> </w:t>
      </w:r>
      <w:r w:rsidR="00E35722">
        <w:t xml:space="preserve">Wadium należy wpłacać powołując się na numer działki. Osoby wpłacające wadium na konkretną działkę będą uczestniczyły w licytacji tylko tej działki, na którą zostało wpłacone wadium.  </w:t>
      </w:r>
    </w:p>
    <w:p w:rsidR="002F3B2F" w:rsidRPr="00626AD8" w:rsidRDefault="002F3B2F" w:rsidP="000F31DF">
      <w:pPr>
        <w:numPr>
          <w:ilvl w:val="0"/>
          <w:numId w:val="6"/>
        </w:numPr>
        <w:spacing w:before="240" w:after="240"/>
        <w:ind w:left="284" w:hanging="284"/>
        <w:jc w:val="both"/>
      </w:pPr>
      <w:r w:rsidRPr="00626AD8">
        <w:t>Do przetargu dopuszczone zostaną osoby fizyczne lub prawne, kt</w:t>
      </w:r>
      <w:r w:rsidRPr="00626AD8">
        <w:rPr>
          <w:rFonts w:cs="Garamond"/>
        </w:rPr>
        <w:t>ó</w:t>
      </w:r>
      <w:r w:rsidRPr="00626AD8">
        <w:t xml:space="preserve">re wpłacą wadium w ustalonej wysokości w wyznaczonym terminie, stawią </w:t>
      </w:r>
      <w:r w:rsidR="00B67792">
        <w:t xml:space="preserve">                                                                                                                                                                                                                                                                                                                                                                                                                                                                                                                                                                                                                                                                                                                                                                                                           </w:t>
      </w:r>
      <w:r w:rsidRPr="00626AD8">
        <w:t>się na przetarg osobiście lub w ich imieniu stawią się ich pełnomocnicy okazujący się stosownym pełnomocnictwem, sporządzonym w formie aktu notarialnego lub innej formie z potwierdzeniem zgodności podpis</w:t>
      </w:r>
      <w:r w:rsidRPr="00626AD8">
        <w:rPr>
          <w:rFonts w:cs="Garamond"/>
        </w:rPr>
        <w:t>ó</w:t>
      </w:r>
      <w:r w:rsidRPr="00626AD8">
        <w:t>w przez notariusza, a w przypadku os</w:t>
      </w:r>
      <w:r w:rsidRPr="00626AD8">
        <w:rPr>
          <w:rFonts w:cs="Garamond"/>
        </w:rPr>
        <w:t>ó</w:t>
      </w:r>
      <w:r w:rsidRPr="00626AD8">
        <w:t>b prawnych dodatkowo dokumentami określonymi przepisami prawa, uprawniającymi do wzięcia udziału w przetargu, przedłożą komisji przetargowej dowody stwierdzające tożsamość.</w:t>
      </w:r>
      <w:r w:rsidR="00043043" w:rsidRPr="00626AD8">
        <w:t xml:space="preserve"> </w:t>
      </w:r>
      <w:r w:rsidRPr="00626AD8">
        <w:t>W przypadku małżonk</w:t>
      </w:r>
      <w:r w:rsidRPr="00626AD8">
        <w:rPr>
          <w:rFonts w:cs="Garamond"/>
        </w:rPr>
        <w:t>ó</w:t>
      </w:r>
      <w:r w:rsidRPr="00626AD8">
        <w:t>w, kt</w:t>
      </w:r>
      <w:r w:rsidRPr="00626AD8">
        <w:rPr>
          <w:rFonts w:cs="Garamond"/>
        </w:rPr>
        <w:t>ó</w:t>
      </w:r>
      <w:r w:rsidRPr="00626AD8">
        <w:t>rzy nabywać będą nieruchomość do majątku wsp</w:t>
      </w:r>
      <w:r w:rsidRPr="00626AD8">
        <w:rPr>
          <w:rFonts w:cs="Garamond"/>
        </w:rPr>
        <w:t>ó</w:t>
      </w:r>
      <w:r w:rsidRPr="00626AD8">
        <w:t>lnego, do dokonywania czynności przetargowych konieczna jest obecność obojga małżonk</w:t>
      </w:r>
      <w:r w:rsidRPr="00626AD8">
        <w:rPr>
          <w:rFonts w:cs="Garamond"/>
        </w:rPr>
        <w:t>ó</w:t>
      </w:r>
      <w:r w:rsidRPr="00626AD8">
        <w:t xml:space="preserve">w lub jednego z nich ze stosownym pełnomocnictwem </w:t>
      </w:r>
      <w:r w:rsidR="00B969C5">
        <w:t>(</w:t>
      </w:r>
      <w:r w:rsidRPr="00626AD8">
        <w:t>niekoniecznie w formie aktu notarialnego</w:t>
      </w:r>
      <w:r w:rsidR="00B969C5">
        <w:t>)</w:t>
      </w:r>
      <w:r w:rsidRPr="00626AD8">
        <w:t xml:space="preserve"> drugiego małżonka, upoważniającym do reprezentowania go w przetargu na zbycie nieruchomości, zawierającym dodatkowo zgodę na </w:t>
      </w:r>
      <w:r w:rsidR="00626AD8" w:rsidRPr="00626AD8">
        <w:t>odpłatne nabycie nieruchomości.</w:t>
      </w:r>
    </w:p>
    <w:p w:rsidR="002F3B2F" w:rsidRPr="009B04C8" w:rsidRDefault="002F3B2F" w:rsidP="000F31DF">
      <w:pPr>
        <w:numPr>
          <w:ilvl w:val="0"/>
          <w:numId w:val="6"/>
        </w:numPr>
        <w:spacing w:before="240" w:after="240"/>
        <w:ind w:left="284" w:hanging="284"/>
        <w:jc w:val="both"/>
      </w:pPr>
      <w:r w:rsidRPr="009B04C8">
        <w:rPr>
          <w:bCs/>
          <w:iCs/>
        </w:rPr>
        <w:t>W przetargu mogą brać udział osoby fizyczne i prawne oraz cudzoziemcy na zasadach określonych w ustawie z dnia 24 marca 1920</w:t>
      </w:r>
      <w:r w:rsidR="00626AD8">
        <w:rPr>
          <w:bCs/>
          <w:iCs/>
        </w:rPr>
        <w:t xml:space="preserve"> </w:t>
      </w:r>
      <w:r w:rsidRPr="009B04C8">
        <w:rPr>
          <w:bCs/>
          <w:iCs/>
        </w:rPr>
        <w:t>r</w:t>
      </w:r>
      <w:r w:rsidR="00626AD8">
        <w:rPr>
          <w:bCs/>
          <w:iCs/>
        </w:rPr>
        <w:t>oku</w:t>
      </w:r>
      <w:r w:rsidR="00626AD8">
        <w:rPr>
          <w:bCs/>
          <w:iCs/>
        </w:rPr>
        <w:br/>
      </w:r>
      <w:r w:rsidRPr="009B04C8">
        <w:rPr>
          <w:bCs/>
          <w:iCs/>
        </w:rPr>
        <w:t>o nabywaniu nieruchomości przez cudzoziemców (t.j. Dz.U. z 2017r., poz. 2278).</w:t>
      </w:r>
    </w:p>
    <w:p w:rsidR="002F3B2F" w:rsidRPr="009B04C8" w:rsidRDefault="002F3B2F" w:rsidP="000F31DF">
      <w:pPr>
        <w:numPr>
          <w:ilvl w:val="0"/>
          <w:numId w:val="6"/>
        </w:numPr>
        <w:spacing w:after="240"/>
        <w:ind w:left="284" w:hanging="284"/>
        <w:jc w:val="both"/>
      </w:pPr>
      <w:r w:rsidRPr="009B04C8">
        <w:t>Wadium zwraca się niezwłocznie po odwołaniu lub zamknięciu przetargu, jednak nie później niż przed upływem 3 dni od dnia zamknięcia, odwołania, unieważnienia lub zakończenia przetargu wynikiem negatywnym.</w:t>
      </w:r>
    </w:p>
    <w:p w:rsidR="00C34B81" w:rsidRDefault="002F3B2F" w:rsidP="000F31DF">
      <w:pPr>
        <w:numPr>
          <w:ilvl w:val="0"/>
          <w:numId w:val="6"/>
        </w:numPr>
        <w:spacing w:after="240"/>
        <w:ind w:left="284" w:hanging="284"/>
        <w:jc w:val="both"/>
      </w:pPr>
      <w:r w:rsidRPr="00C34B81">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w:t>
      </w:r>
      <w:r w:rsidR="00C34B81">
        <w:t>nkami określonymi w ogłoszeniu.</w:t>
      </w:r>
    </w:p>
    <w:p w:rsidR="002F3B2F" w:rsidRPr="00C34B81" w:rsidRDefault="002F3B2F" w:rsidP="000F31DF">
      <w:pPr>
        <w:numPr>
          <w:ilvl w:val="0"/>
          <w:numId w:val="6"/>
        </w:numPr>
        <w:spacing w:after="240"/>
        <w:ind w:left="284" w:hanging="284"/>
        <w:jc w:val="both"/>
      </w:pPr>
      <w:r w:rsidRPr="00C34B81">
        <w:t>Protokół z przeprowadzonego przetargu stanowi podstawę zawarcia umowy notarialnej.</w:t>
      </w:r>
    </w:p>
    <w:p w:rsidR="002F3B2F" w:rsidRPr="009B04C8" w:rsidRDefault="002F3B2F" w:rsidP="000F31DF">
      <w:pPr>
        <w:numPr>
          <w:ilvl w:val="0"/>
          <w:numId w:val="6"/>
        </w:numPr>
        <w:spacing w:after="240"/>
        <w:ind w:left="284" w:hanging="284"/>
        <w:jc w:val="both"/>
      </w:pPr>
      <w:r w:rsidRPr="009B04C8">
        <w:t>Nabywca zobowiązany jest zapłacić cenę nabywanej nieruchomości nie p</w:t>
      </w:r>
      <w:r w:rsidRPr="009B04C8">
        <w:rPr>
          <w:rFonts w:cs="Garamond"/>
        </w:rPr>
        <w:t>ó</w:t>
      </w:r>
      <w:r w:rsidRPr="009B04C8">
        <w:t>źniej niż do dnia zawarcia umowy przenoszącej własność. Za termin zapłaty uznaje się dzień wpływu należności na wskazane konto.</w:t>
      </w:r>
    </w:p>
    <w:p w:rsidR="004828E7" w:rsidRDefault="002F3B2F" w:rsidP="004828E7">
      <w:pPr>
        <w:numPr>
          <w:ilvl w:val="0"/>
          <w:numId w:val="6"/>
        </w:numPr>
        <w:spacing w:after="240"/>
        <w:ind w:left="284" w:hanging="284"/>
        <w:jc w:val="both"/>
      </w:pPr>
      <w:r w:rsidRPr="009B04C8">
        <w:t>Osoba ustalona jako nabywca zostanie zawiadomiona o miejscu i terminie zawarcia umowy sprzedaży nieruchomości najp</w:t>
      </w:r>
      <w:r w:rsidRPr="009B04C8">
        <w:rPr>
          <w:rFonts w:cs="Garamond"/>
        </w:rPr>
        <w:t>ó</w:t>
      </w:r>
      <w:r w:rsidRPr="009B04C8">
        <w:t>źniej w ciągu 21 dni od dnia rozstrzygnięcia przetargu. Jeżeli osoba ustalona jako nabywca nieruchomości nie przystąpi bez usprawiedliwienia do zawarcia umowy</w:t>
      </w:r>
      <w:r w:rsidR="00B969C5">
        <w:br/>
      </w:r>
      <w:r w:rsidRPr="009B04C8">
        <w:t>w miejscu i w terminie podanych w zawiadomieniu, organizator przetargu może odstąpić od zawarcia umowy, a wpłacone wadium nie podlega zwrotowi.</w:t>
      </w:r>
    </w:p>
    <w:p w:rsidR="002F3B2F" w:rsidRPr="004828E7" w:rsidRDefault="004828E7" w:rsidP="004828E7">
      <w:pPr>
        <w:numPr>
          <w:ilvl w:val="0"/>
          <w:numId w:val="6"/>
        </w:numPr>
        <w:spacing w:after="240"/>
        <w:ind w:left="284" w:hanging="284"/>
        <w:jc w:val="both"/>
      </w:pPr>
      <w:r>
        <w:t xml:space="preserve"> </w:t>
      </w:r>
      <w:r w:rsidR="002F3B2F" w:rsidRPr="004828E7">
        <w:t>Koszty zawarcia umowy notarialnej oraz koszty wpisów wieczysto-księgowych obciążają nabywcę.</w:t>
      </w:r>
    </w:p>
    <w:p w:rsidR="00FB2E6C" w:rsidRDefault="004828E7" w:rsidP="00FB2E6C">
      <w:pPr>
        <w:numPr>
          <w:ilvl w:val="0"/>
          <w:numId w:val="6"/>
        </w:numPr>
        <w:spacing w:after="240"/>
        <w:ind w:left="284" w:hanging="284"/>
        <w:jc w:val="both"/>
      </w:pPr>
      <w:r>
        <w:lastRenderedPageBreak/>
        <w:t xml:space="preserve"> </w:t>
      </w:r>
      <w:r w:rsidR="002F3B2F" w:rsidRPr="004828E7">
        <w:t>Szczegółowych informacji dotyczących przedmiotu przetargu udzielają pracownicy Referatu Gospodarki Nieruchomościami Starostwa</w:t>
      </w:r>
      <w:r>
        <w:t xml:space="preserve"> Powiatowego w Lęborku, pok. 117, I piętro, tel. /59/ 88 48 879</w:t>
      </w:r>
      <w:r w:rsidR="002F3B2F" w:rsidRPr="004828E7">
        <w:t xml:space="preserve">. </w:t>
      </w:r>
    </w:p>
    <w:p w:rsidR="002F3B2F" w:rsidRPr="00E35722" w:rsidRDefault="004828E7" w:rsidP="00FB2E6C">
      <w:pPr>
        <w:numPr>
          <w:ilvl w:val="0"/>
          <w:numId w:val="6"/>
        </w:numPr>
        <w:spacing w:after="240"/>
        <w:ind w:left="284" w:hanging="284"/>
        <w:jc w:val="both"/>
      </w:pPr>
      <w:r w:rsidRPr="00FB2E6C">
        <w:rPr>
          <w:color w:val="000000" w:themeColor="text1"/>
        </w:rPr>
        <w:t xml:space="preserve"> </w:t>
      </w:r>
      <w:r w:rsidR="002F3B2F" w:rsidRPr="00FB2E6C">
        <w:rPr>
          <w:color w:val="000000" w:themeColor="text1"/>
        </w:rPr>
        <w:t>Ogłoszenie</w:t>
      </w:r>
      <w:r w:rsidR="002F3B2F" w:rsidRPr="004828E7">
        <w:t xml:space="preserve"> podaje się do publicznej wiadomości poprzez </w:t>
      </w:r>
      <w:r w:rsidR="00B969C5" w:rsidRPr="004828E7">
        <w:t xml:space="preserve">publikację w prasie, </w:t>
      </w:r>
      <w:r w:rsidR="002F3B2F" w:rsidRPr="004828E7">
        <w:t>zamieszczenie na stronie internetowej Starostwa Powiatowego</w:t>
      </w:r>
      <w:r w:rsidR="00B969C5" w:rsidRPr="004828E7">
        <w:br/>
      </w:r>
      <w:r w:rsidR="002F3B2F" w:rsidRPr="004828E7">
        <w:t xml:space="preserve">w Lęborku </w:t>
      </w:r>
      <w:hyperlink r:id="rId7" w:history="1">
        <w:r w:rsidR="002F3B2F" w:rsidRPr="004828E7">
          <w:t>www.powiat-lebork.com</w:t>
        </w:r>
      </w:hyperlink>
      <w:r w:rsidR="00B969C5" w:rsidRPr="004828E7">
        <w:t xml:space="preserve">, </w:t>
      </w:r>
      <w:r w:rsidR="002F3B2F" w:rsidRPr="004828E7">
        <w:t>na tablic</w:t>
      </w:r>
      <w:r w:rsidR="00D46D3F" w:rsidRPr="004828E7">
        <w:t>y</w:t>
      </w:r>
      <w:r w:rsidR="002F3B2F" w:rsidRPr="004828E7">
        <w:t xml:space="preserve"> ogłoszeń </w:t>
      </w:r>
      <w:r w:rsidR="00D46D3F" w:rsidRPr="004828E7">
        <w:t>Starostwa Powiatowego w Lęborku</w:t>
      </w:r>
      <w:r w:rsidR="002F3B2F" w:rsidRPr="004828E7">
        <w:t xml:space="preserve"> /parter/</w:t>
      </w:r>
      <w:r w:rsidR="00D46D3F" w:rsidRPr="004828E7">
        <w:t xml:space="preserve">, a także tablicach ogłoszeń Urzędu Miasta Lęborka oraz Łeby i Urzędów Gmin: Cewice, Nowa Wieś Lęborska oraz Wicko, </w:t>
      </w:r>
      <w:r w:rsidR="00E35722" w:rsidRPr="00E35722">
        <w:t>na okres od 07.06.2024 r. do 11.07.</w:t>
      </w:r>
      <w:r w:rsidRPr="00E35722">
        <w:t>2024</w:t>
      </w:r>
      <w:r w:rsidR="00D46D3F" w:rsidRPr="00E35722">
        <w:t xml:space="preserve"> </w:t>
      </w:r>
      <w:r w:rsidR="002F3B2F" w:rsidRPr="00E35722">
        <w:t>r</w:t>
      </w:r>
      <w:r w:rsidRPr="00E35722">
        <w:t>.</w:t>
      </w:r>
    </w:p>
    <w:p w:rsidR="002F3B2F" w:rsidRPr="004828E7" w:rsidRDefault="004828E7" w:rsidP="000F31DF">
      <w:pPr>
        <w:numPr>
          <w:ilvl w:val="0"/>
          <w:numId w:val="6"/>
        </w:numPr>
        <w:spacing w:after="240"/>
        <w:ind w:left="284" w:hanging="284"/>
        <w:jc w:val="both"/>
      </w:pPr>
      <w:r>
        <w:t xml:space="preserve"> </w:t>
      </w:r>
      <w:r w:rsidR="002F3B2F" w:rsidRPr="004828E7">
        <w:t xml:space="preserve">Zastrzega </w:t>
      </w:r>
      <w:r w:rsidR="00D63350">
        <w:t>się prawo do odwołania przetargów</w:t>
      </w:r>
      <w:r w:rsidR="002F3B2F" w:rsidRPr="004828E7">
        <w:t xml:space="preserve"> z ważnych powodów. </w:t>
      </w:r>
      <w:r w:rsidR="00B969C5" w:rsidRPr="004828E7">
        <w:t>Starosta Lęborski</w:t>
      </w:r>
      <w:r w:rsidR="002F3B2F" w:rsidRPr="004828E7">
        <w:t xml:space="preserve"> poda do publicznej wiadomości informację o odwołaniu</w:t>
      </w:r>
      <w:r w:rsidR="00B969C5" w:rsidRPr="004828E7">
        <w:br/>
      </w:r>
      <w:r w:rsidR="002F3B2F" w:rsidRPr="004828E7">
        <w:t>z podaniem uzasadnionej przyczyny.</w:t>
      </w:r>
    </w:p>
    <w:p w:rsidR="00B969C5" w:rsidRPr="004828E7" w:rsidRDefault="00B969C5" w:rsidP="000F31DF">
      <w:pPr>
        <w:numPr>
          <w:ilvl w:val="0"/>
          <w:numId w:val="6"/>
        </w:numPr>
        <w:spacing w:after="240"/>
        <w:ind w:left="284" w:hanging="284"/>
        <w:jc w:val="both"/>
      </w:pPr>
      <w:r w:rsidRPr="004828E7">
        <w:t>Przetarg</w:t>
      </w:r>
      <w:r w:rsidR="00D63350">
        <w:t>i odbędą</w:t>
      </w:r>
      <w:r w:rsidRPr="004828E7">
        <w:t xml:space="preserve"> </w:t>
      </w:r>
      <w:r w:rsidRPr="00E35722">
        <w:t xml:space="preserve">się </w:t>
      </w:r>
      <w:r w:rsidR="00E35722" w:rsidRPr="00E35722">
        <w:rPr>
          <w:b/>
          <w:u w:val="single"/>
        </w:rPr>
        <w:t>w dniu 11.07.2024 r.</w:t>
      </w:r>
      <w:r w:rsidR="000F31DF" w:rsidRPr="00E35722">
        <w:t>,</w:t>
      </w:r>
      <w:r w:rsidR="000F31DF" w:rsidRPr="004828E7">
        <w:t xml:space="preserve"> </w:t>
      </w:r>
      <w:r w:rsidRPr="004828E7">
        <w:t xml:space="preserve">w </w:t>
      </w:r>
      <w:r w:rsidR="00D46D3F" w:rsidRPr="004828E7">
        <w:t>s</w:t>
      </w:r>
      <w:r w:rsidRPr="004828E7">
        <w:t>ali nr 13 Starostwa Powiatowego w Lęborku przy ul. Czołgistów 5.</w:t>
      </w:r>
    </w:p>
    <w:sectPr w:rsidR="00B969C5" w:rsidRPr="004828E7" w:rsidSect="00FB2E6C">
      <w:pgSz w:w="16838" w:h="11906" w:orient="landscape"/>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F2E"/>
    <w:multiLevelType w:val="hybridMultilevel"/>
    <w:tmpl w:val="AA8C53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50E7B50"/>
    <w:multiLevelType w:val="hybridMultilevel"/>
    <w:tmpl w:val="FAB20C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8B42E30"/>
    <w:multiLevelType w:val="hybridMultilevel"/>
    <w:tmpl w:val="1D7C638A"/>
    <w:lvl w:ilvl="0" w:tplc="0415000F">
      <w:start w:val="1"/>
      <w:numFmt w:val="decimal"/>
      <w:lvlText w:val="%1."/>
      <w:lvlJc w:val="left"/>
      <w:pPr>
        <w:ind w:left="144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59FD10BE"/>
    <w:multiLevelType w:val="hybridMultilevel"/>
    <w:tmpl w:val="548AAFBE"/>
    <w:lvl w:ilvl="0" w:tplc="92F4315C">
      <w:start w:val="1"/>
      <w:numFmt w:val="decimal"/>
      <w:lvlText w:val="%1."/>
      <w:lvlJc w:val="left"/>
      <w:pPr>
        <w:tabs>
          <w:tab w:val="num" w:pos="360"/>
        </w:tabs>
        <w:ind w:left="360" w:hanging="360"/>
      </w:pPr>
      <w:rPr>
        <w:rFonts w:ascii="Garamond" w:eastAsia="Times New Roman" w:hAnsi="Garamond"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607C38E2"/>
    <w:multiLevelType w:val="hybridMultilevel"/>
    <w:tmpl w:val="548AAFBE"/>
    <w:lvl w:ilvl="0" w:tplc="92F4315C">
      <w:start w:val="1"/>
      <w:numFmt w:val="decimal"/>
      <w:lvlText w:val="%1."/>
      <w:lvlJc w:val="left"/>
      <w:pPr>
        <w:tabs>
          <w:tab w:val="num" w:pos="720"/>
        </w:tabs>
        <w:ind w:left="720" w:hanging="360"/>
      </w:pPr>
      <w:rPr>
        <w:rFonts w:ascii="Garamond" w:eastAsia="Times New Roman" w:hAnsi="Garamond"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num>
  <w:num w:numId="2">
    <w:abstractNumId w:val="4"/>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2"/>
  </w:compat>
  <w:rsids>
    <w:rsidRoot w:val="00DA2EF1"/>
    <w:rsid w:val="00043043"/>
    <w:rsid w:val="00057FEB"/>
    <w:rsid w:val="000E0CD6"/>
    <w:rsid w:val="000F31DF"/>
    <w:rsid w:val="00105F22"/>
    <w:rsid w:val="00136CB6"/>
    <w:rsid w:val="00144ABB"/>
    <w:rsid w:val="00175F76"/>
    <w:rsid w:val="001B5DFD"/>
    <w:rsid w:val="001C3288"/>
    <w:rsid w:val="00227267"/>
    <w:rsid w:val="00231421"/>
    <w:rsid w:val="0024426A"/>
    <w:rsid w:val="002654E2"/>
    <w:rsid w:val="0028658D"/>
    <w:rsid w:val="002A31AC"/>
    <w:rsid w:val="002C32E7"/>
    <w:rsid w:val="002D1F5E"/>
    <w:rsid w:val="002E31FA"/>
    <w:rsid w:val="002F3B2F"/>
    <w:rsid w:val="002F6CC1"/>
    <w:rsid w:val="00322E38"/>
    <w:rsid w:val="00344192"/>
    <w:rsid w:val="003A4FA1"/>
    <w:rsid w:val="00425381"/>
    <w:rsid w:val="004828E7"/>
    <w:rsid w:val="00482F10"/>
    <w:rsid w:val="00484998"/>
    <w:rsid w:val="00491D32"/>
    <w:rsid w:val="004E274B"/>
    <w:rsid w:val="005179B2"/>
    <w:rsid w:val="00534F76"/>
    <w:rsid w:val="00550849"/>
    <w:rsid w:val="00563536"/>
    <w:rsid w:val="00585FFC"/>
    <w:rsid w:val="005E2C50"/>
    <w:rsid w:val="00626AD8"/>
    <w:rsid w:val="007232FC"/>
    <w:rsid w:val="0073486E"/>
    <w:rsid w:val="007B7E01"/>
    <w:rsid w:val="007D7F0B"/>
    <w:rsid w:val="008303F7"/>
    <w:rsid w:val="00856AAF"/>
    <w:rsid w:val="00863084"/>
    <w:rsid w:val="008B6457"/>
    <w:rsid w:val="00990D1E"/>
    <w:rsid w:val="009C5317"/>
    <w:rsid w:val="009D6088"/>
    <w:rsid w:val="009E54E3"/>
    <w:rsid w:val="00A04156"/>
    <w:rsid w:val="00A60D2A"/>
    <w:rsid w:val="00AC4C87"/>
    <w:rsid w:val="00B26C41"/>
    <w:rsid w:val="00B4300E"/>
    <w:rsid w:val="00B67792"/>
    <w:rsid w:val="00B94308"/>
    <w:rsid w:val="00B969C5"/>
    <w:rsid w:val="00BE2B68"/>
    <w:rsid w:val="00BF43C7"/>
    <w:rsid w:val="00C26235"/>
    <w:rsid w:val="00C34B81"/>
    <w:rsid w:val="00C350CF"/>
    <w:rsid w:val="00CA28D1"/>
    <w:rsid w:val="00D46D3F"/>
    <w:rsid w:val="00D60049"/>
    <w:rsid w:val="00D63350"/>
    <w:rsid w:val="00D76E84"/>
    <w:rsid w:val="00D77F4C"/>
    <w:rsid w:val="00D95B99"/>
    <w:rsid w:val="00DA2EF1"/>
    <w:rsid w:val="00DB212A"/>
    <w:rsid w:val="00E070DE"/>
    <w:rsid w:val="00E321D5"/>
    <w:rsid w:val="00E35722"/>
    <w:rsid w:val="00E6585E"/>
    <w:rsid w:val="00EA339B"/>
    <w:rsid w:val="00EE12F1"/>
    <w:rsid w:val="00F3520D"/>
    <w:rsid w:val="00F87D34"/>
    <w:rsid w:val="00F95745"/>
    <w:rsid w:val="00FB2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5F76"/>
    <w:pPr>
      <w:spacing w:after="0" w:line="240" w:lineRule="auto"/>
    </w:pPr>
    <w:rPr>
      <w:rFonts w:ascii="Garamond" w:eastAsia="Times New Roman" w:hAnsi="Garamond"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9E54E3"/>
    <w:rPr>
      <w:color w:val="0000FF"/>
      <w:u w:val="single"/>
    </w:rPr>
  </w:style>
  <w:style w:type="paragraph" w:styleId="Tekstpodstawowy">
    <w:name w:val="Body Text"/>
    <w:basedOn w:val="Normalny"/>
    <w:link w:val="TekstpodstawowyZnak"/>
    <w:semiHidden/>
    <w:unhideWhenUsed/>
    <w:rsid w:val="009E54E3"/>
    <w:pPr>
      <w:jc w:val="center"/>
    </w:pPr>
    <w:rPr>
      <w:spacing w:val="40"/>
      <w:sz w:val="28"/>
    </w:rPr>
  </w:style>
  <w:style w:type="character" w:customStyle="1" w:styleId="TekstpodstawowyZnak">
    <w:name w:val="Tekst podstawowy Znak"/>
    <w:basedOn w:val="Domylnaczcionkaakapitu"/>
    <w:link w:val="Tekstpodstawowy"/>
    <w:semiHidden/>
    <w:rsid w:val="009E54E3"/>
    <w:rPr>
      <w:rFonts w:ascii="Times New Roman" w:eastAsia="Times New Roman" w:hAnsi="Times New Roman" w:cs="Times New Roman"/>
      <w:spacing w:val="40"/>
      <w:sz w:val="28"/>
      <w:szCs w:val="24"/>
      <w:lang w:eastAsia="pl-PL"/>
    </w:rPr>
  </w:style>
  <w:style w:type="paragraph" w:styleId="Tekstpodstawowy2">
    <w:name w:val="Body Text 2"/>
    <w:basedOn w:val="Normalny"/>
    <w:link w:val="Tekstpodstawowy2Znak"/>
    <w:semiHidden/>
    <w:unhideWhenUsed/>
    <w:rsid w:val="009E54E3"/>
    <w:pPr>
      <w:jc w:val="both"/>
    </w:pPr>
    <w:rPr>
      <w:sz w:val="28"/>
    </w:rPr>
  </w:style>
  <w:style w:type="character" w:customStyle="1" w:styleId="Tekstpodstawowy2Znak">
    <w:name w:val="Tekst podstawowy 2 Znak"/>
    <w:basedOn w:val="Domylnaczcionkaakapitu"/>
    <w:link w:val="Tekstpodstawowy2"/>
    <w:semiHidden/>
    <w:rsid w:val="009E54E3"/>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unhideWhenUsed/>
    <w:rsid w:val="009E54E3"/>
    <w:pPr>
      <w:ind w:left="360" w:hanging="360"/>
      <w:jc w:val="both"/>
    </w:pPr>
  </w:style>
  <w:style w:type="character" w:customStyle="1" w:styleId="Tekstpodstawowywcity2Znak">
    <w:name w:val="Tekst podstawowy wcięty 2 Znak"/>
    <w:basedOn w:val="Domylnaczcionkaakapitu"/>
    <w:link w:val="Tekstpodstawowywcity2"/>
    <w:rsid w:val="009E54E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04156"/>
    <w:pPr>
      <w:ind w:left="720"/>
      <w:contextualSpacing/>
    </w:pPr>
  </w:style>
  <w:style w:type="paragraph" w:styleId="Tekstdymka">
    <w:name w:val="Balloon Text"/>
    <w:basedOn w:val="Normalny"/>
    <w:link w:val="TekstdymkaZnak"/>
    <w:uiPriority w:val="99"/>
    <w:semiHidden/>
    <w:unhideWhenUsed/>
    <w:rsid w:val="00491D32"/>
    <w:rPr>
      <w:rFonts w:ascii="Tahoma" w:hAnsi="Tahoma" w:cs="Tahoma"/>
      <w:sz w:val="16"/>
      <w:szCs w:val="16"/>
    </w:rPr>
  </w:style>
  <w:style w:type="character" w:customStyle="1" w:styleId="TekstdymkaZnak">
    <w:name w:val="Tekst dymka Znak"/>
    <w:basedOn w:val="Domylnaczcionkaakapitu"/>
    <w:link w:val="Tekstdymka"/>
    <w:uiPriority w:val="99"/>
    <w:semiHidden/>
    <w:rsid w:val="00491D32"/>
    <w:rPr>
      <w:rFonts w:ascii="Tahoma" w:eastAsia="Times New Roman" w:hAnsi="Tahoma" w:cs="Tahoma"/>
      <w:sz w:val="16"/>
      <w:szCs w:val="16"/>
      <w:lang w:eastAsia="pl-PL"/>
    </w:rPr>
  </w:style>
  <w:style w:type="character" w:styleId="Uwydatnienie">
    <w:name w:val="Emphasis"/>
    <w:basedOn w:val="Domylnaczcionkaakapitu"/>
    <w:uiPriority w:val="20"/>
    <w:qFormat/>
    <w:rsid w:val="000F31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54E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9E54E3"/>
    <w:rPr>
      <w:color w:val="0000FF"/>
      <w:u w:val="single"/>
    </w:rPr>
  </w:style>
  <w:style w:type="paragraph" w:styleId="Tekstpodstawowy">
    <w:name w:val="Body Text"/>
    <w:basedOn w:val="Normalny"/>
    <w:link w:val="TekstpodstawowyZnak"/>
    <w:semiHidden/>
    <w:unhideWhenUsed/>
    <w:rsid w:val="009E54E3"/>
    <w:pPr>
      <w:jc w:val="center"/>
    </w:pPr>
    <w:rPr>
      <w:spacing w:val="40"/>
      <w:sz w:val="28"/>
    </w:rPr>
  </w:style>
  <w:style w:type="character" w:customStyle="1" w:styleId="TekstpodstawowyZnak">
    <w:name w:val="Tekst podstawowy Znak"/>
    <w:basedOn w:val="Domylnaczcionkaakapitu"/>
    <w:link w:val="Tekstpodstawowy"/>
    <w:semiHidden/>
    <w:rsid w:val="009E54E3"/>
    <w:rPr>
      <w:rFonts w:ascii="Times New Roman" w:eastAsia="Times New Roman" w:hAnsi="Times New Roman" w:cs="Times New Roman"/>
      <w:spacing w:val="40"/>
      <w:sz w:val="28"/>
      <w:szCs w:val="24"/>
      <w:lang w:eastAsia="pl-PL"/>
    </w:rPr>
  </w:style>
  <w:style w:type="paragraph" w:styleId="Tekstpodstawowy2">
    <w:name w:val="Body Text 2"/>
    <w:basedOn w:val="Normalny"/>
    <w:link w:val="Tekstpodstawowy2Znak"/>
    <w:semiHidden/>
    <w:unhideWhenUsed/>
    <w:rsid w:val="009E54E3"/>
    <w:pPr>
      <w:jc w:val="both"/>
    </w:pPr>
    <w:rPr>
      <w:sz w:val="28"/>
    </w:rPr>
  </w:style>
  <w:style w:type="character" w:customStyle="1" w:styleId="Tekstpodstawowy2Znak">
    <w:name w:val="Tekst podstawowy 2 Znak"/>
    <w:basedOn w:val="Domylnaczcionkaakapitu"/>
    <w:link w:val="Tekstpodstawowy2"/>
    <w:semiHidden/>
    <w:rsid w:val="009E54E3"/>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semiHidden/>
    <w:unhideWhenUsed/>
    <w:rsid w:val="009E54E3"/>
    <w:pPr>
      <w:ind w:left="360" w:hanging="360"/>
      <w:jc w:val="both"/>
    </w:pPr>
  </w:style>
  <w:style w:type="character" w:customStyle="1" w:styleId="Tekstpodstawowywcity2Znak">
    <w:name w:val="Tekst podstawowy wcięty 2 Znak"/>
    <w:basedOn w:val="Domylnaczcionkaakapitu"/>
    <w:link w:val="Tekstpodstawowywcity2"/>
    <w:semiHidden/>
    <w:rsid w:val="009E54E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04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15135">
      <w:bodyDiv w:val="1"/>
      <w:marLeft w:val="0"/>
      <w:marRight w:val="0"/>
      <w:marTop w:val="0"/>
      <w:marBottom w:val="0"/>
      <w:divBdr>
        <w:top w:val="none" w:sz="0" w:space="0" w:color="auto"/>
        <w:left w:val="none" w:sz="0" w:space="0" w:color="auto"/>
        <w:bottom w:val="none" w:sz="0" w:space="0" w:color="auto"/>
        <w:right w:val="none" w:sz="0" w:space="0" w:color="auto"/>
      </w:divBdr>
    </w:div>
    <w:div w:id="7833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owiat-lebor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14FF-0952-4913-B62A-E041050B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5</Pages>
  <Words>1842</Words>
  <Characters>11054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Kardas</dc:creator>
  <cp:keywords/>
  <dc:description/>
  <cp:lastModifiedBy>Hanna Swierczynska</cp:lastModifiedBy>
  <cp:revision>21</cp:revision>
  <cp:lastPrinted>2024-05-28T10:30:00Z</cp:lastPrinted>
  <dcterms:created xsi:type="dcterms:W3CDTF">2018-09-26T11:19:00Z</dcterms:created>
  <dcterms:modified xsi:type="dcterms:W3CDTF">2024-05-28T10:39:00Z</dcterms:modified>
</cp:coreProperties>
</file>